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378C82D4" w:rsidR="00E90E49" w:rsidRPr="00735D18" w:rsidRDefault="00E90E49" w:rsidP="00E35559">
      <w:pPr>
        <w:pStyle w:val="3GPPHeader"/>
        <w:spacing w:after="60"/>
        <w:rPr>
          <w:sz w:val="32"/>
          <w:szCs w:val="32"/>
          <w:highlight w:val="yellow"/>
        </w:rPr>
      </w:pPr>
      <w:r w:rsidRPr="00735D18">
        <w:t>3GPP TSG-RAN WG</w:t>
      </w:r>
      <w:r w:rsidR="008F1C4E" w:rsidRPr="00735D18">
        <w:t>1</w:t>
      </w:r>
      <w:r w:rsidRPr="00735D18">
        <w:t xml:space="preserve"> </w:t>
      </w:r>
      <w:r w:rsidR="008F1C4E" w:rsidRPr="00735D18">
        <w:t xml:space="preserve">Meeting </w:t>
      </w:r>
      <w:r w:rsidRPr="00735D18">
        <w:t>#</w:t>
      </w:r>
      <w:r w:rsidR="00CE0BF7" w:rsidRPr="00735D18">
        <w:t>9</w:t>
      </w:r>
      <w:r w:rsidR="00360BFB" w:rsidRPr="00735D18">
        <w:t>8</w:t>
      </w:r>
      <w:r w:rsidR="00F54057" w:rsidRPr="00735D18">
        <w:t>bis</w:t>
      </w:r>
      <w:r w:rsidRPr="00735D18">
        <w:tab/>
      </w:r>
      <w:r w:rsidR="000C72EF" w:rsidRPr="00735D18">
        <w:rPr>
          <w:sz w:val="32"/>
          <w:szCs w:val="32"/>
        </w:rPr>
        <w:t>R1-19</w:t>
      </w:r>
      <w:r w:rsidR="007C57F4">
        <w:rPr>
          <w:sz w:val="32"/>
          <w:szCs w:val="32"/>
        </w:rPr>
        <w:t>10983</w:t>
      </w:r>
    </w:p>
    <w:p w14:paraId="25B6506E" w14:textId="488B0570" w:rsidR="00DB3592" w:rsidRPr="00735D18" w:rsidRDefault="00FC2CFC" w:rsidP="00DB3592">
      <w:pPr>
        <w:pStyle w:val="3GPPHeader"/>
      </w:pPr>
      <w:r w:rsidRPr="00735D18">
        <w:t>Chongqing</w:t>
      </w:r>
      <w:r w:rsidR="0052454F" w:rsidRPr="00735D18">
        <w:t xml:space="preserve">, </w:t>
      </w:r>
      <w:r w:rsidRPr="00735D18">
        <w:t>China</w:t>
      </w:r>
      <w:r w:rsidR="0052454F" w:rsidRPr="00735D18">
        <w:t xml:space="preserve">, </w:t>
      </w:r>
      <w:r w:rsidRPr="00735D18">
        <w:t>14</w:t>
      </w:r>
      <w:r w:rsidR="0052454F" w:rsidRPr="00735D18">
        <w:t xml:space="preserve">th – </w:t>
      </w:r>
      <w:r w:rsidRPr="00735D18">
        <w:t>2</w:t>
      </w:r>
      <w:r w:rsidR="00AF2EE3" w:rsidRPr="00735D18">
        <w:t>0</w:t>
      </w:r>
      <w:r w:rsidR="0052454F" w:rsidRPr="00735D18">
        <w:t xml:space="preserve">th </w:t>
      </w:r>
      <w:r w:rsidRPr="00735D18">
        <w:t>October</w:t>
      </w:r>
      <w:r w:rsidR="0052454F" w:rsidRPr="00735D18">
        <w:t xml:space="preserve"> 2019</w:t>
      </w:r>
    </w:p>
    <w:p w14:paraId="60A5317D" w14:textId="77777777" w:rsidR="00E90E49" w:rsidRPr="00735D18" w:rsidRDefault="00E90E49" w:rsidP="00357380">
      <w:pPr>
        <w:pStyle w:val="3GPPHeader"/>
      </w:pPr>
    </w:p>
    <w:p w14:paraId="3C6869D1" w14:textId="49CC5592" w:rsidR="00E90E49" w:rsidRPr="00735D18" w:rsidRDefault="00E90E49" w:rsidP="00311702">
      <w:pPr>
        <w:pStyle w:val="3GPPHeader"/>
        <w:rPr>
          <w:sz w:val="22"/>
        </w:rPr>
      </w:pPr>
      <w:r w:rsidRPr="00735D18">
        <w:rPr>
          <w:sz w:val="22"/>
        </w:rPr>
        <w:t>Agenda Item:</w:t>
      </w:r>
      <w:r w:rsidRPr="00735D18">
        <w:rPr>
          <w:sz w:val="22"/>
        </w:rPr>
        <w:tab/>
      </w:r>
      <w:r w:rsidR="00B076E0" w:rsidRPr="00735D18">
        <w:rPr>
          <w:sz w:val="22"/>
        </w:rPr>
        <w:t>7</w:t>
      </w:r>
      <w:r w:rsidR="006500B6" w:rsidRPr="00735D18">
        <w:rPr>
          <w:sz w:val="22"/>
        </w:rPr>
        <w:t>.</w:t>
      </w:r>
      <w:r w:rsidR="00B076E0" w:rsidRPr="00735D18">
        <w:rPr>
          <w:sz w:val="22"/>
        </w:rPr>
        <w:t>2</w:t>
      </w:r>
      <w:r w:rsidR="006500B6" w:rsidRPr="00735D18">
        <w:rPr>
          <w:sz w:val="22"/>
        </w:rPr>
        <w:t>.</w:t>
      </w:r>
      <w:r w:rsidR="00B076E0" w:rsidRPr="00735D18">
        <w:rPr>
          <w:sz w:val="22"/>
        </w:rPr>
        <w:t>5.</w:t>
      </w:r>
      <w:r w:rsidR="0037268C" w:rsidRPr="00735D18">
        <w:rPr>
          <w:sz w:val="22"/>
        </w:rPr>
        <w:t>4</w:t>
      </w:r>
    </w:p>
    <w:p w14:paraId="0CB055DD" w14:textId="77777777" w:rsidR="00E90E49" w:rsidRPr="00735D18" w:rsidRDefault="003D3C45" w:rsidP="00F64C2B">
      <w:pPr>
        <w:pStyle w:val="3GPPHeader"/>
        <w:rPr>
          <w:sz w:val="22"/>
        </w:rPr>
      </w:pPr>
      <w:r w:rsidRPr="00735D18">
        <w:rPr>
          <w:sz w:val="22"/>
        </w:rPr>
        <w:t>Source:</w:t>
      </w:r>
      <w:r w:rsidR="00E90E49" w:rsidRPr="00735D18">
        <w:rPr>
          <w:sz w:val="22"/>
        </w:rPr>
        <w:tab/>
      </w:r>
      <w:r w:rsidR="00F64C2B" w:rsidRPr="00735D18">
        <w:rPr>
          <w:sz w:val="22"/>
        </w:rPr>
        <w:t>Ericsson</w:t>
      </w:r>
    </w:p>
    <w:p w14:paraId="63DAB814" w14:textId="04193652" w:rsidR="00E90E49" w:rsidRPr="00735D18" w:rsidRDefault="003D3C45" w:rsidP="00311702">
      <w:pPr>
        <w:pStyle w:val="3GPPHeader"/>
        <w:rPr>
          <w:sz w:val="22"/>
        </w:rPr>
      </w:pPr>
      <w:r w:rsidRPr="00735D18">
        <w:rPr>
          <w:sz w:val="22"/>
        </w:rPr>
        <w:t>Title:</w:t>
      </w:r>
      <w:r w:rsidR="00E90E49" w:rsidRPr="00735D18">
        <w:rPr>
          <w:sz w:val="22"/>
        </w:rPr>
        <w:tab/>
      </w:r>
      <w:r w:rsidR="0037268C" w:rsidRPr="00735D18">
        <w:rPr>
          <w:sz w:val="22"/>
        </w:rPr>
        <w:t>On more delay tolerant retransmission mechanisms for NTN</w:t>
      </w:r>
    </w:p>
    <w:p w14:paraId="76893D37" w14:textId="279B0D24" w:rsidR="00E90E49" w:rsidRPr="00735D18" w:rsidRDefault="00E90E49" w:rsidP="000E5128">
      <w:pPr>
        <w:pStyle w:val="3GPPHeader"/>
        <w:rPr>
          <w:sz w:val="22"/>
        </w:rPr>
      </w:pPr>
      <w:r w:rsidRPr="00735D18">
        <w:rPr>
          <w:sz w:val="22"/>
        </w:rPr>
        <w:t>Document for:</w:t>
      </w:r>
      <w:r w:rsidRPr="00735D18">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644AC52F" w14:textId="0EAE56CD" w:rsidR="00A2268A" w:rsidRPr="00735D18" w:rsidRDefault="00EE54F7" w:rsidP="000E5128">
      <w:pPr>
        <w:jc w:val="both"/>
        <w:rPr>
          <w:rFonts w:ascii="Arial" w:hAnsi="Arial"/>
        </w:rPr>
      </w:pPr>
      <w:r w:rsidRPr="00735D18">
        <w:rPr>
          <w:rFonts w:ascii="Arial" w:hAnsi="Arial"/>
        </w:rPr>
        <w:t>In RAN1#97 and RAN1#98, several agreements (as cited in the appendix) were made related to more delay tolerant retransmission mechanisms for NTN. In this contribution, we provide our views on more delay tolerant retransmission mechanisms for further progress.</w:t>
      </w:r>
      <w:r w:rsidR="00B076E0" w:rsidRPr="00735D18">
        <w:rPr>
          <w:rFonts w:ascii="Arial" w:hAnsi="Arial"/>
        </w:rPr>
        <w:t xml:space="preserve"> </w:t>
      </w:r>
    </w:p>
    <w:p w14:paraId="463E4BBA" w14:textId="1AADD838" w:rsidR="00A1311D" w:rsidRDefault="00A11F50" w:rsidP="00A1311D">
      <w:pPr>
        <w:pStyle w:val="Heading1"/>
        <w:numPr>
          <w:ilvl w:val="0"/>
          <w:numId w:val="15"/>
        </w:numPr>
      </w:pPr>
      <w:r>
        <w:t>Parameter c</w:t>
      </w:r>
      <w:r w:rsidR="00415B75">
        <w:t xml:space="preserve">onfiguration for </w:t>
      </w:r>
      <w:r>
        <w:t>enabled/disabled HARQ</w:t>
      </w:r>
    </w:p>
    <w:p w14:paraId="0FD4BD65" w14:textId="77777777" w:rsidR="009458BD" w:rsidRPr="00735D18" w:rsidRDefault="009458BD" w:rsidP="009458BD">
      <w:pPr>
        <w:jc w:val="both"/>
        <w:rPr>
          <w:rFonts w:ascii="Arial" w:hAnsi="Arial"/>
        </w:rPr>
      </w:pPr>
      <w:r w:rsidRPr="00735D18">
        <w:rPr>
          <w:rFonts w:ascii="Arial" w:hAnsi="Arial"/>
        </w:rPr>
        <w:t>It was concluded at RAN1#98 that RAN1 does not need to further discuss the need of dynamic disabling of HARQ by gNB following the RAN2#107 decision stating the following:</w:t>
      </w:r>
    </w:p>
    <w:p w14:paraId="6F728F93" w14:textId="77777777" w:rsidR="009458BD" w:rsidRDefault="009458BD" w:rsidP="009458BD">
      <w:pPr>
        <w:pStyle w:val="ListParagraph"/>
        <w:numPr>
          <w:ilvl w:val="0"/>
          <w:numId w:val="31"/>
        </w:numPr>
        <w:jc w:val="both"/>
        <w:rPr>
          <w:rFonts w:ascii="Arial" w:hAnsi="Arial"/>
        </w:rPr>
      </w:pPr>
      <w:r w:rsidRPr="004A71D7">
        <w:rPr>
          <w:rFonts w:ascii="Arial" w:hAnsi="Arial"/>
        </w:rPr>
        <w:t>The enabling / disabling of HARQ feedback should be configurable on a per UE and per HARQ process basis</w:t>
      </w:r>
    </w:p>
    <w:p w14:paraId="18FAE9F9" w14:textId="77777777" w:rsidR="009458BD" w:rsidRPr="00735D18" w:rsidRDefault="009458BD" w:rsidP="009458BD">
      <w:pPr>
        <w:jc w:val="both"/>
        <w:rPr>
          <w:rFonts w:ascii="Arial" w:hAnsi="Arial"/>
        </w:rPr>
      </w:pPr>
      <w:r w:rsidRPr="00735D18">
        <w:rPr>
          <w:rFonts w:ascii="Arial" w:hAnsi="Arial"/>
        </w:rPr>
        <w:t>Given that enabling / disabling of HARQ feedback should be configurable per HARQ process, it then becomes necessary to discuss issues related to completing the functionality. One important issue is regarding the transmission reliability of disabled HARQ processes versus enabled HARQ processes.</w:t>
      </w:r>
    </w:p>
    <w:p w14:paraId="6CEEBAC3" w14:textId="560164EB" w:rsidR="009458BD" w:rsidRPr="00735D18" w:rsidRDefault="009458BD" w:rsidP="009458BD">
      <w:pPr>
        <w:jc w:val="both"/>
        <w:rPr>
          <w:rFonts w:ascii="Arial" w:hAnsi="Arial"/>
        </w:rPr>
      </w:pPr>
      <w:r w:rsidRPr="00735D18">
        <w:rPr>
          <w:rFonts w:ascii="Arial" w:hAnsi="Arial"/>
        </w:rPr>
        <w:t>Disabling HARQ feedback may increase the residual Block Error Rate (BLER) since retransmissions based on HARQ feedback are not possible anymore. For robustness and to minimize the need of RLC AM retransmission, the BLER target of the first transmission should be reduced. If the feedback is disabled for some HARQ processes but not for the others, it is not desirable to apply the same configuration</w:t>
      </w:r>
      <w:r w:rsidR="008536AF" w:rsidRPr="00735D18">
        <w:rPr>
          <w:rFonts w:ascii="Arial" w:hAnsi="Arial"/>
        </w:rPr>
        <w:t xml:space="preserve"> to all HARQ processes</w:t>
      </w:r>
      <w:r w:rsidRPr="00735D18">
        <w:rPr>
          <w:rFonts w:ascii="Arial" w:hAnsi="Arial"/>
        </w:rPr>
        <w:t xml:space="preserve">. For example, for a HARQ process working as is today, the BLER target </w:t>
      </w:r>
      <w:r w:rsidR="000B7FE1" w:rsidRPr="00735D18">
        <w:rPr>
          <w:rFonts w:ascii="Arial" w:hAnsi="Arial"/>
        </w:rPr>
        <w:t xml:space="preserve">may </w:t>
      </w:r>
      <w:r w:rsidRPr="00735D18">
        <w:rPr>
          <w:rFonts w:ascii="Arial" w:hAnsi="Arial"/>
        </w:rPr>
        <w:t xml:space="preserve">remain the same (e.g. 10%), while for a HARQ process with feedback disabled, the BLER target </w:t>
      </w:r>
      <w:r w:rsidR="000B7FE1" w:rsidRPr="00735D18">
        <w:rPr>
          <w:rFonts w:ascii="Arial" w:hAnsi="Arial"/>
        </w:rPr>
        <w:t xml:space="preserve">may </w:t>
      </w:r>
      <w:r w:rsidRPr="00735D18">
        <w:rPr>
          <w:rFonts w:ascii="Arial" w:hAnsi="Arial"/>
        </w:rPr>
        <w:t>be lower (e.g. 1%).</w:t>
      </w:r>
    </w:p>
    <w:p w14:paraId="1D7FCBB8" w14:textId="77777777" w:rsidR="009458BD" w:rsidRDefault="009458BD" w:rsidP="009458BD">
      <w:pPr>
        <w:jc w:val="both"/>
        <w:rPr>
          <w:rFonts w:ascii="Arial" w:hAnsi="Arial"/>
        </w:rPr>
      </w:pPr>
      <w:r w:rsidRPr="00735D18">
        <w:rPr>
          <w:rFonts w:ascii="Arial" w:hAnsi="Arial"/>
        </w:rPr>
        <w:t xml:space="preserve">The existing Rel-15 NR functionality should be used as the baseline for achieving lower BLER target. </w:t>
      </w:r>
      <w:r>
        <w:rPr>
          <w:rFonts w:ascii="Arial" w:hAnsi="Arial"/>
        </w:rPr>
        <w:t xml:space="preserve">As an example, the existing Rel-15 methods include </w:t>
      </w:r>
    </w:p>
    <w:p w14:paraId="4AB71581" w14:textId="77777777" w:rsidR="009458BD" w:rsidRDefault="009458BD" w:rsidP="009458BD">
      <w:pPr>
        <w:pStyle w:val="ListParagraph"/>
        <w:numPr>
          <w:ilvl w:val="0"/>
          <w:numId w:val="32"/>
        </w:numPr>
        <w:jc w:val="both"/>
        <w:rPr>
          <w:rFonts w:ascii="Arial" w:hAnsi="Arial"/>
        </w:rPr>
      </w:pPr>
      <w:r w:rsidRPr="00F75DD9">
        <w:rPr>
          <w:rFonts w:ascii="Arial" w:hAnsi="Arial"/>
        </w:rPr>
        <w:t>selection of more conservative Modulation Coding Schemes</w:t>
      </w:r>
    </w:p>
    <w:p w14:paraId="6CC0D086" w14:textId="77777777" w:rsidR="009458BD" w:rsidRDefault="009458BD" w:rsidP="009458BD">
      <w:pPr>
        <w:pStyle w:val="ListParagraph"/>
        <w:numPr>
          <w:ilvl w:val="0"/>
          <w:numId w:val="32"/>
        </w:numPr>
        <w:jc w:val="both"/>
        <w:rPr>
          <w:rFonts w:ascii="Arial" w:hAnsi="Arial"/>
        </w:rPr>
      </w:pPr>
      <w:r w:rsidRPr="00F75DD9">
        <w:rPr>
          <w:rFonts w:ascii="Arial" w:hAnsi="Arial"/>
        </w:rPr>
        <w:t>use of a different MCS table</w:t>
      </w:r>
    </w:p>
    <w:p w14:paraId="3C0C9CA4" w14:textId="77777777" w:rsidR="009458BD" w:rsidRDefault="009458BD" w:rsidP="009458BD">
      <w:pPr>
        <w:pStyle w:val="ListParagraph"/>
        <w:numPr>
          <w:ilvl w:val="0"/>
          <w:numId w:val="32"/>
        </w:numPr>
        <w:jc w:val="both"/>
        <w:rPr>
          <w:rFonts w:ascii="Arial" w:hAnsi="Arial"/>
        </w:rPr>
      </w:pPr>
      <w:r w:rsidRPr="00F75DD9">
        <w:rPr>
          <w:rFonts w:ascii="Arial" w:hAnsi="Arial"/>
        </w:rPr>
        <w:t>use of higher power</w:t>
      </w:r>
    </w:p>
    <w:p w14:paraId="4AE21213" w14:textId="77777777" w:rsidR="009458BD" w:rsidRPr="00203959" w:rsidRDefault="009458BD" w:rsidP="009458BD">
      <w:pPr>
        <w:pStyle w:val="ListParagraph"/>
        <w:numPr>
          <w:ilvl w:val="0"/>
          <w:numId w:val="32"/>
        </w:numPr>
        <w:jc w:val="both"/>
        <w:rPr>
          <w:rFonts w:ascii="Arial" w:hAnsi="Arial"/>
        </w:rPr>
      </w:pPr>
      <w:r>
        <w:rPr>
          <w:rFonts w:ascii="Arial" w:hAnsi="Arial"/>
          <w:lang w:val="en-US"/>
        </w:rPr>
        <w:t xml:space="preserve">use of </w:t>
      </w:r>
      <w:r w:rsidRPr="00F75DD9">
        <w:rPr>
          <w:rFonts w:ascii="Arial" w:hAnsi="Arial"/>
        </w:rPr>
        <w:t>a higher aggregation factor</w:t>
      </w:r>
    </w:p>
    <w:p w14:paraId="5DDC3C37" w14:textId="34484105" w:rsidR="009458BD" w:rsidRPr="00735D18" w:rsidRDefault="009458BD" w:rsidP="009458BD">
      <w:pPr>
        <w:jc w:val="both"/>
        <w:rPr>
          <w:rFonts w:ascii="Arial" w:hAnsi="Arial"/>
        </w:rPr>
      </w:pPr>
      <w:r w:rsidRPr="00735D18">
        <w:rPr>
          <w:rFonts w:ascii="Arial" w:hAnsi="Arial"/>
        </w:rPr>
        <w:t>The effectiveness of these methods should be evaluated by RAN1 through link and system level simulations before new methods for achieving robust link level performance with HARQ</w:t>
      </w:r>
      <w:r w:rsidR="007C1899">
        <w:rPr>
          <w:rFonts w:ascii="Arial" w:hAnsi="Arial"/>
        </w:rPr>
        <w:t xml:space="preserve"> feedback</w:t>
      </w:r>
      <w:r w:rsidRPr="00735D18">
        <w:rPr>
          <w:rFonts w:ascii="Arial" w:hAnsi="Arial"/>
        </w:rPr>
        <w:t xml:space="preserve"> disabled are considered. </w:t>
      </w:r>
    </w:p>
    <w:p w14:paraId="64FEF799" w14:textId="7C72B512" w:rsidR="009458BD" w:rsidRPr="00735D18" w:rsidRDefault="007C1899" w:rsidP="009458BD">
      <w:pPr>
        <w:pStyle w:val="Proposal"/>
      </w:pPr>
      <w:bookmarkStart w:id="0" w:name="_Toc19281094"/>
      <w:bookmarkStart w:id="1" w:name="_Toc21078612"/>
      <w:r>
        <w:t xml:space="preserve">Transmission parameters for </w:t>
      </w:r>
      <w:r w:rsidR="009458BD" w:rsidRPr="00735D18">
        <w:t xml:space="preserve">HARQ processes with feedback enabled/disabled should be allowed to be configured differently. For example, it should be supported to configure a higher aggregation factor for HARQ processes with feedback </w:t>
      </w:r>
      <w:r w:rsidR="009458BD" w:rsidRPr="00735D18">
        <w:lastRenderedPageBreak/>
        <w:t>disabled, while a lower aggregation factor can be configured for HARQ processes with feedback enabled.</w:t>
      </w:r>
      <w:bookmarkEnd w:id="0"/>
      <w:bookmarkEnd w:id="1"/>
    </w:p>
    <w:p w14:paraId="0534CE47" w14:textId="0FE79E33" w:rsidR="007914B3" w:rsidRPr="00735D18" w:rsidRDefault="009458BD" w:rsidP="001A5A7B">
      <w:pPr>
        <w:pStyle w:val="Proposal"/>
      </w:pPr>
      <w:bookmarkStart w:id="2" w:name="_Toc16841873"/>
      <w:bookmarkStart w:id="3" w:name="_Toc19281095"/>
      <w:bookmarkStart w:id="4" w:name="_Toc21078613"/>
      <w:r w:rsidRPr="00735D18">
        <w:t>The existing Rel-15 NR functionality should be used as the baseline for achieving lower BLER target. RAN1 to evaluate the effectiveness of the Rel-15 methods for achieving lower BLER target before any new methods are considered.</w:t>
      </w:r>
      <w:bookmarkEnd w:id="2"/>
      <w:bookmarkEnd w:id="3"/>
      <w:bookmarkEnd w:id="4"/>
    </w:p>
    <w:p w14:paraId="3E52464D" w14:textId="3EE9CBA7" w:rsidR="00EC0AD6" w:rsidRDefault="007E67EE" w:rsidP="00EC0AD6">
      <w:pPr>
        <w:pStyle w:val="Heading1"/>
        <w:numPr>
          <w:ilvl w:val="0"/>
          <w:numId w:val="15"/>
        </w:numPr>
      </w:pPr>
      <w:r>
        <w:t>Views on number of HARQ processes</w:t>
      </w:r>
    </w:p>
    <w:p w14:paraId="1652C133" w14:textId="2E3FE0E2" w:rsidR="0046141F" w:rsidRDefault="006E4B7C" w:rsidP="0046141F">
      <w:pPr>
        <w:pStyle w:val="Heading2"/>
      </w:pPr>
      <w:r>
        <w:t>3</w:t>
      </w:r>
      <w:r w:rsidR="0046141F">
        <w:t>.1</w:t>
      </w:r>
      <w:r w:rsidR="0046141F">
        <w:tab/>
        <w:t>Alternatives to increasing number of HARQ processes for NTN</w:t>
      </w:r>
    </w:p>
    <w:p w14:paraId="7FCA7107" w14:textId="7D50DF29" w:rsidR="0046141F" w:rsidRDefault="00B4313E" w:rsidP="0046141F">
      <w:pPr>
        <w:jc w:val="both"/>
        <w:rPr>
          <w:rFonts w:ascii="Arial" w:hAnsi="Arial"/>
          <w:lang w:val="en-GB" w:eastAsia="ja-JP"/>
        </w:rPr>
      </w:pPr>
      <w:r>
        <w:rPr>
          <w:rFonts w:ascii="Arial" w:hAnsi="Arial"/>
          <w:lang w:val="en-GB" w:eastAsia="ja-JP"/>
        </w:rPr>
        <w:t>In RAN1#98, it was proposed by some companies that t</w:t>
      </w:r>
      <w:r w:rsidR="0046141F" w:rsidRPr="00915C5C">
        <w:rPr>
          <w:rFonts w:ascii="Arial" w:hAnsi="Arial"/>
          <w:lang w:val="en-GB" w:eastAsia="ja-JP"/>
        </w:rPr>
        <w:t>he number of HARQ processes</w:t>
      </w:r>
      <w:r w:rsidR="00DB106B">
        <w:rPr>
          <w:rFonts w:ascii="Arial" w:hAnsi="Arial"/>
          <w:lang w:val="en-GB" w:eastAsia="ja-JP"/>
        </w:rPr>
        <w:t xml:space="preserve"> should be increased </w:t>
      </w:r>
      <w:r w:rsidR="0046141F" w:rsidRPr="00915C5C">
        <w:rPr>
          <w:rFonts w:ascii="Arial" w:hAnsi="Arial"/>
          <w:lang w:val="en-GB" w:eastAsia="ja-JP"/>
        </w:rPr>
        <w:t xml:space="preserve">to absorb the potentially large propagation delays in </w:t>
      </w:r>
      <w:r w:rsidR="0046141F">
        <w:rPr>
          <w:rFonts w:ascii="Arial" w:hAnsi="Arial"/>
          <w:lang w:val="en-GB" w:eastAsia="ja-JP"/>
        </w:rPr>
        <w:t>NTN</w:t>
      </w:r>
      <w:r w:rsidR="0046141F" w:rsidRPr="00915C5C">
        <w:rPr>
          <w:rFonts w:ascii="Arial" w:hAnsi="Arial"/>
          <w:lang w:val="en-GB" w:eastAsia="ja-JP"/>
        </w:rPr>
        <w:t xml:space="preserve">. </w:t>
      </w:r>
      <w:r w:rsidR="0046141F">
        <w:rPr>
          <w:rFonts w:ascii="Arial" w:hAnsi="Arial"/>
          <w:lang w:val="en-GB" w:eastAsia="ja-JP"/>
        </w:rPr>
        <w:t>However, this is not well motivated, as there exist several other ways to address the issue originated from the stop-and-wait HARQ protocol.</w:t>
      </w:r>
    </w:p>
    <w:p w14:paraId="145F1FE4" w14:textId="77777777" w:rsidR="0046141F" w:rsidRDefault="0046141F" w:rsidP="0046141F">
      <w:pPr>
        <w:pStyle w:val="ListParagraph"/>
        <w:numPr>
          <w:ilvl w:val="0"/>
          <w:numId w:val="31"/>
        </w:numPr>
        <w:jc w:val="both"/>
        <w:rPr>
          <w:rFonts w:ascii="Arial" w:hAnsi="Arial"/>
          <w:lang w:val="en-GB" w:eastAsia="ja-JP"/>
        </w:rPr>
      </w:pPr>
      <w:r>
        <w:rPr>
          <w:rFonts w:ascii="Arial" w:hAnsi="Arial"/>
          <w:lang w:val="en-GB" w:eastAsia="ja-JP"/>
        </w:rPr>
        <w:t>Option 1: E</w:t>
      </w:r>
      <w:r w:rsidRPr="002E19F3">
        <w:rPr>
          <w:rFonts w:ascii="Arial" w:hAnsi="Arial"/>
          <w:lang w:val="en-GB" w:eastAsia="ja-JP"/>
        </w:rPr>
        <w:t xml:space="preserve">nabling / disabling of HARQ feedback on a per UE </w:t>
      </w:r>
      <w:r>
        <w:rPr>
          <w:rFonts w:ascii="Arial" w:hAnsi="Arial"/>
          <w:lang w:val="en-GB" w:eastAsia="ja-JP"/>
        </w:rPr>
        <w:t>or</w:t>
      </w:r>
      <w:r w:rsidRPr="002E19F3">
        <w:rPr>
          <w:rFonts w:ascii="Arial" w:hAnsi="Arial"/>
          <w:lang w:val="en-GB" w:eastAsia="ja-JP"/>
        </w:rPr>
        <w:t xml:space="preserve"> per HARQ process basis</w:t>
      </w:r>
    </w:p>
    <w:p w14:paraId="20573B88" w14:textId="77777777" w:rsidR="0046141F" w:rsidRDefault="0046141F" w:rsidP="0046141F">
      <w:pPr>
        <w:pStyle w:val="ListParagraph"/>
        <w:numPr>
          <w:ilvl w:val="1"/>
          <w:numId w:val="31"/>
        </w:numPr>
        <w:jc w:val="both"/>
        <w:rPr>
          <w:rFonts w:ascii="Arial" w:hAnsi="Arial"/>
          <w:lang w:val="en-GB" w:eastAsia="ja-JP"/>
        </w:rPr>
      </w:pPr>
      <w:r>
        <w:rPr>
          <w:rFonts w:ascii="Arial" w:hAnsi="Arial"/>
          <w:lang w:val="en-GB" w:eastAsia="ja-JP"/>
        </w:rPr>
        <w:t xml:space="preserve">It is already agreed that HARQ feedback can be disabled for NTN. This method can already resolve the throughput reduction due to the stalling caused by the stop-and-wait protocol. </w:t>
      </w:r>
    </w:p>
    <w:p w14:paraId="4D9391BE" w14:textId="77777777" w:rsidR="0046141F" w:rsidRDefault="0046141F" w:rsidP="0046141F">
      <w:pPr>
        <w:pStyle w:val="ListParagraph"/>
        <w:numPr>
          <w:ilvl w:val="0"/>
          <w:numId w:val="31"/>
        </w:numPr>
        <w:jc w:val="both"/>
        <w:rPr>
          <w:rFonts w:ascii="Arial" w:hAnsi="Arial"/>
          <w:lang w:val="en-GB" w:eastAsia="ja-JP"/>
        </w:rPr>
      </w:pPr>
      <w:r>
        <w:rPr>
          <w:rFonts w:ascii="Arial" w:hAnsi="Arial"/>
          <w:lang w:val="en-GB" w:eastAsia="ja-JP"/>
        </w:rPr>
        <w:t>Option 2: TDM scheduling of multiple UEs in a cell from a system perspective</w:t>
      </w:r>
    </w:p>
    <w:p w14:paraId="0A17C7E3" w14:textId="074B11CE" w:rsidR="0046141F" w:rsidRPr="0093468F" w:rsidRDefault="0046141F" w:rsidP="0046141F">
      <w:pPr>
        <w:pStyle w:val="ListParagraph"/>
        <w:numPr>
          <w:ilvl w:val="1"/>
          <w:numId w:val="31"/>
        </w:numPr>
        <w:jc w:val="both"/>
        <w:rPr>
          <w:rFonts w:ascii="Arial" w:hAnsi="Arial"/>
          <w:lang w:val="en-GB" w:eastAsia="ja-JP"/>
        </w:rPr>
      </w:pPr>
      <w:r>
        <w:rPr>
          <w:rFonts w:ascii="Arial" w:hAnsi="Arial"/>
          <w:lang w:val="en-GB" w:eastAsia="ja-JP"/>
        </w:rPr>
        <w:t xml:space="preserve">Continuous data transmission is possible from a system perspective, by scheduling different UEs in different slots. </w:t>
      </w:r>
    </w:p>
    <w:p w14:paraId="4D5C13E0" w14:textId="77777777" w:rsidR="0046141F" w:rsidRPr="00735D18" w:rsidRDefault="0046141F" w:rsidP="0046141F">
      <w:pPr>
        <w:pStyle w:val="Observation"/>
        <w:overflowPunct w:val="0"/>
        <w:autoSpaceDE w:val="0"/>
        <w:autoSpaceDN w:val="0"/>
        <w:adjustRightInd w:val="0"/>
        <w:spacing w:line="240" w:lineRule="auto"/>
        <w:textAlignment w:val="baseline"/>
      </w:pPr>
      <w:bookmarkStart w:id="5" w:name="_Toc19281090"/>
      <w:bookmarkStart w:id="6" w:name="_Toc21078610"/>
      <w:r w:rsidRPr="00735D18">
        <w:t>The</w:t>
      </w:r>
      <w:r>
        <w:rPr>
          <w:lang w:val="en-GB"/>
        </w:rPr>
        <w:t xml:space="preserve"> motivation of increasing number of HARQ processes is not clear, as there exist several other ways to address the issue originated from the stop-and-wait HARQ protocol.</w:t>
      </w:r>
      <w:bookmarkEnd w:id="5"/>
      <w:bookmarkEnd w:id="6"/>
    </w:p>
    <w:p w14:paraId="43F0807F" w14:textId="7FFD4B32" w:rsidR="0046141F" w:rsidRDefault="006E4B7C" w:rsidP="0046141F">
      <w:pPr>
        <w:pStyle w:val="Heading2"/>
      </w:pPr>
      <w:r>
        <w:t>3</w:t>
      </w:r>
      <w:r w:rsidR="0046141F">
        <w:t>.2</w:t>
      </w:r>
      <w:r w:rsidR="0046141F">
        <w:tab/>
        <w:t>Evaluation results comparing HARQ without feedback to increasing number of HARQ processes</w:t>
      </w:r>
    </w:p>
    <w:p w14:paraId="3FDA7042" w14:textId="241DDED3" w:rsidR="006F1A6D" w:rsidRDefault="00AA4D03" w:rsidP="0046141F">
      <w:pPr>
        <w:jc w:val="both"/>
        <w:rPr>
          <w:rFonts w:ascii="Arial" w:hAnsi="Arial"/>
          <w:lang w:val="en-GB" w:eastAsia="ja-JP"/>
        </w:rPr>
      </w:pPr>
      <w:r>
        <w:rPr>
          <w:rFonts w:ascii="Arial" w:hAnsi="Arial"/>
          <w:lang w:val="en-GB" w:eastAsia="ja-JP"/>
        </w:rPr>
        <w:t>In NTN</w:t>
      </w:r>
      <w:r w:rsidR="00D30644">
        <w:rPr>
          <w:rFonts w:ascii="Arial" w:hAnsi="Arial"/>
          <w:lang w:val="en-GB" w:eastAsia="ja-JP"/>
        </w:rPr>
        <w:t>,</w:t>
      </w:r>
      <w:r>
        <w:rPr>
          <w:rFonts w:ascii="Arial" w:hAnsi="Arial"/>
          <w:lang w:val="en-GB" w:eastAsia="ja-JP"/>
        </w:rPr>
        <w:t xml:space="preserve"> the </w:t>
      </w:r>
      <w:r w:rsidR="005C1021">
        <w:rPr>
          <w:rFonts w:ascii="Arial" w:hAnsi="Arial"/>
          <w:lang w:val="en-GB" w:eastAsia="ja-JP"/>
        </w:rPr>
        <w:t xml:space="preserve">gNB-UE </w:t>
      </w:r>
      <w:r w:rsidR="00BE7438">
        <w:rPr>
          <w:rFonts w:ascii="Arial" w:hAnsi="Arial"/>
          <w:lang w:val="en-GB" w:eastAsia="ja-JP"/>
        </w:rPr>
        <w:t>link is typically dominated</w:t>
      </w:r>
      <w:r w:rsidR="005C1021">
        <w:rPr>
          <w:rFonts w:ascii="Arial" w:hAnsi="Arial"/>
          <w:lang w:val="en-GB" w:eastAsia="ja-JP"/>
        </w:rPr>
        <w:t xml:space="preserve"> by a strong line-of-sight component</w:t>
      </w:r>
      <w:r w:rsidR="00101D6A">
        <w:rPr>
          <w:rFonts w:ascii="Arial" w:hAnsi="Arial"/>
          <w:lang w:val="en-GB" w:eastAsia="ja-JP"/>
        </w:rPr>
        <w:t xml:space="preserve"> </w:t>
      </w:r>
      <w:r w:rsidR="00101D6A">
        <w:rPr>
          <w:rFonts w:ascii="Arial" w:hAnsi="Arial"/>
          <w:lang w:val="en-GB" w:eastAsia="ja-JP"/>
        </w:rPr>
        <w:fldChar w:fldCharType="begin"/>
      </w:r>
      <w:r w:rsidR="00101D6A">
        <w:rPr>
          <w:rFonts w:ascii="Arial" w:hAnsi="Arial"/>
          <w:lang w:val="en-GB" w:eastAsia="ja-JP"/>
        </w:rPr>
        <w:instrText xml:space="preserve"> REF _Ref20915636 \r \h </w:instrText>
      </w:r>
      <w:r w:rsidR="00101D6A">
        <w:rPr>
          <w:rFonts w:ascii="Arial" w:hAnsi="Arial"/>
          <w:lang w:val="en-GB" w:eastAsia="ja-JP"/>
        </w:rPr>
      </w:r>
      <w:r w:rsidR="00101D6A">
        <w:rPr>
          <w:rFonts w:ascii="Arial" w:hAnsi="Arial"/>
          <w:lang w:val="en-GB" w:eastAsia="ja-JP"/>
        </w:rPr>
        <w:fldChar w:fldCharType="separate"/>
      </w:r>
      <w:r w:rsidR="007C1899">
        <w:rPr>
          <w:rFonts w:ascii="Arial" w:hAnsi="Arial"/>
          <w:lang w:val="en-GB" w:eastAsia="ja-JP"/>
        </w:rPr>
        <w:t>[1]</w:t>
      </w:r>
      <w:r w:rsidR="00101D6A">
        <w:rPr>
          <w:rFonts w:ascii="Arial" w:hAnsi="Arial"/>
          <w:lang w:val="en-GB" w:eastAsia="ja-JP"/>
        </w:rPr>
        <w:fldChar w:fldCharType="end"/>
      </w:r>
      <w:r w:rsidR="005C1021">
        <w:rPr>
          <w:rFonts w:ascii="Arial" w:hAnsi="Arial"/>
          <w:lang w:val="en-GB" w:eastAsia="ja-JP"/>
        </w:rPr>
        <w:t>.</w:t>
      </w:r>
      <w:r w:rsidR="003B042E">
        <w:rPr>
          <w:rFonts w:ascii="Arial" w:hAnsi="Arial"/>
          <w:lang w:val="en-GB" w:eastAsia="ja-JP"/>
        </w:rPr>
        <w:t xml:space="preserve"> </w:t>
      </w:r>
      <w:r w:rsidR="006171A1">
        <w:rPr>
          <w:rFonts w:ascii="Arial" w:hAnsi="Arial"/>
          <w:lang w:val="en-GB" w:eastAsia="ja-JP"/>
        </w:rPr>
        <w:t>Consequently</w:t>
      </w:r>
      <w:r w:rsidR="003B042E">
        <w:rPr>
          <w:rFonts w:ascii="Arial" w:hAnsi="Arial"/>
          <w:lang w:val="en-GB" w:eastAsia="ja-JP"/>
        </w:rPr>
        <w:t xml:space="preserve">, </w:t>
      </w:r>
      <w:r w:rsidR="00CE4B72">
        <w:rPr>
          <w:rFonts w:ascii="Arial" w:hAnsi="Arial"/>
          <w:lang w:val="en-GB" w:eastAsia="ja-JP"/>
        </w:rPr>
        <w:t xml:space="preserve">the </w:t>
      </w:r>
      <w:r w:rsidR="00003778">
        <w:rPr>
          <w:rFonts w:ascii="Arial" w:hAnsi="Arial"/>
          <w:lang w:val="en-GB" w:eastAsia="ja-JP"/>
        </w:rPr>
        <w:t xml:space="preserve">received signal level </w:t>
      </w:r>
      <w:r w:rsidR="00B5644D">
        <w:rPr>
          <w:rFonts w:ascii="Arial" w:hAnsi="Arial"/>
          <w:lang w:val="en-GB" w:eastAsia="ja-JP"/>
        </w:rPr>
        <w:t>w</w:t>
      </w:r>
      <w:r w:rsidR="00D30644">
        <w:rPr>
          <w:rFonts w:ascii="Arial" w:hAnsi="Arial"/>
          <w:lang w:val="en-GB" w:eastAsia="ja-JP"/>
        </w:rPr>
        <w:t>ould</w:t>
      </w:r>
      <w:r w:rsidR="00B5644D">
        <w:rPr>
          <w:rFonts w:ascii="Arial" w:hAnsi="Arial"/>
          <w:lang w:val="en-GB" w:eastAsia="ja-JP"/>
        </w:rPr>
        <w:t xml:space="preserve"> </w:t>
      </w:r>
      <w:r w:rsidR="002563FE">
        <w:rPr>
          <w:rFonts w:ascii="Arial" w:hAnsi="Arial"/>
          <w:lang w:val="en-GB" w:eastAsia="ja-JP"/>
        </w:rPr>
        <w:t xml:space="preserve">typically be </w:t>
      </w:r>
      <w:r w:rsidR="00B97A58">
        <w:rPr>
          <w:rFonts w:ascii="Arial" w:hAnsi="Arial"/>
          <w:lang w:val="en-GB" w:eastAsia="ja-JP"/>
        </w:rPr>
        <w:t>subject only to slow variations</w:t>
      </w:r>
      <w:r w:rsidR="00CB4BC8">
        <w:rPr>
          <w:rFonts w:ascii="Arial" w:hAnsi="Arial"/>
          <w:lang w:val="en-GB" w:eastAsia="ja-JP"/>
        </w:rPr>
        <w:t xml:space="preserve"> due to satellite movement (pathloss, antenna direction, etc)</w:t>
      </w:r>
      <w:r w:rsidR="00EF1112">
        <w:rPr>
          <w:rFonts w:ascii="Arial" w:hAnsi="Arial"/>
          <w:lang w:val="en-GB" w:eastAsia="ja-JP"/>
        </w:rPr>
        <w:t>.</w:t>
      </w:r>
      <w:r w:rsidR="00CB4BC8">
        <w:rPr>
          <w:rFonts w:ascii="Arial" w:hAnsi="Arial"/>
          <w:lang w:val="en-GB" w:eastAsia="ja-JP"/>
        </w:rPr>
        <w:t xml:space="preserve"> </w:t>
      </w:r>
      <w:r w:rsidR="00EF1112">
        <w:rPr>
          <w:rFonts w:ascii="Arial" w:hAnsi="Arial"/>
          <w:lang w:val="en-GB" w:eastAsia="ja-JP"/>
        </w:rPr>
        <w:t xml:space="preserve">Even if these variations can </w:t>
      </w:r>
      <w:r w:rsidR="00795DEB">
        <w:rPr>
          <w:rFonts w:ascii="Arial" w:hAnsi="Arial"/>
          <w:lang w:val="en-GB" w:eastAsia="ja-JP"/>
        </w:rPr>
        <w:t xml:space="preserve">be relatively </w:t>
      </w:r>
      <w:r w:rsidR="00A66E8D">
        <w:rPr>
          <w:rFonts w:ascii="Arial" w:hAnsi="Arial"/>
          <w:lang w:val="en-GB" w:eastAsia="ja-JP"/>
        </w:rPr>
        <w:t>fast</w:t>
      </w:r>
      <w:r w:rsidR="00795DEB">
        <w:rPr>
          <w:rFonts w:ascii="Arial" w:hAnsi="Arial"/>
          <w:lang w:val="en-GB" w:eastAsia="ja-JP"/>
        </w:rPr>
        <w:t xml:space="preserve"> </w:t>
      </w:r>
      <w:r w:rsidR="00A43E6D">
        <w:rPr>
          <w:rFonts w:ascii="Arial" w:hAnsi="Arial"/>
          <w:lang w:val="en-GB" w:eastAsia="ja-JP"/>
        </w:rPr>
        <w:t xml:space="preserve">for a low-altitude satellite, they </w:t>
      </w:r>
      <w:r w:rsidR="002A4F8B">
        <w:rPr>
          <w:rFonts w:ascii="Arial" w:hAnsi="Arial"/>
          <w:lang w:val="en-GB" w:eastAsia="ja-JP"/>
        </w:rPr>
        <w:t xml:space="preserve">are typically </w:t>
      </w:r>
      <w:r w:rsidR="00A66E8D">
        <w:rPr>
          <w:rFonts w:ascii="Arial" w:hAnsi="Arial"/>
          <w:lang w:val="en-GB" w:eastAsia="ja-JP"/>
        </w:rPr>
        <w:t xml:space="preserve">significantly </w:t>
      </w:r>
      <w:r w:rsidR="004160D3">
        <w:rPr>
          <w:rFonts w:ascii="Arial" w:hAnsi="Arial"/>
          <w:lang w:val="en-GB" w:eastAsia="ja-JP"/>
        </w:rPr>
        <w:t>slower than the round-trip time. This means that the</w:t>
      </w:r>
      <w:r w:rsidR="00A66E8D">
        <w:rPr>
          <w:rFonts w:ascii="Arial" w:hAnsi="Arial"/>
          <w:lang w:val="en-GB" w:eastAsia="ja-JP"/>
        </w:rPr>
        <w:t xml:space="preserve"> MCS adaptation can </w:t>
      </w:r>
      <w:r w:rsidR="00F15CA1">
        <w:rPr>
          <w:rFonts w:ascii="Arial" w:hAnsi="Arial"/>
          <w:lang w:val="en-GB" w:eastAsia="ja-JP"/>
        </w:rPr>
        <w:t xml:space="preserve">track </w:t>
      </w:r>
      <w:r w:rsidR="002532D7">
        <w:rPr>
          <w:rFonts w:ascii="Arial" w:hAnsi="Arial"/>
          <w:lang w:val="en-GB" w:eastAsia="ja-JP"/>
        </w:rPr>
        <w:t xml:space="preserve">these variations </w:t>
      </w:r>
      <w:r w:rsidR="006D19CE">
        <w:rPr>
          <w:rFonts w:ascii="Arial" w:hAnsi="Arial"/>
          <w:lang w:val="en-GB" w:eastAsia="ja-JP"/>
        </w:rPr>
        <w:t>sufficiently well</w:t>
      </w:r>
      <w:r w:rsidR="00A507BC">
        <w:rPr>
          <w:rFonts w:ascii="Arial" w:hAnsi="Arial"/>
          <w:lang w:val="en-GB" w:eastAsia="ja-JP"/>
        </w:rPr>
        <w:t xml:space="preserve"> </w:t>
      </w:r>
      <w:r w:rsidR="00B2174C">
        <w:rPr>
          <w:rFonts w:ascii="Arial" w:hAnsi="Arial"/>
          <w:lang w:val="en-GB" w:eastAsia="ja-JP"/>
        </w:rPr>
        <w:t xml:space="preserve">and initial BLER held at a target </w:t>
      </w:r>
      <w:r w:rsidR="00281463">
        <w:rPr>
          <w:rFonts w:ascii="Arial" w:hAnsi="Arial"/>
          <w:lang w:val="en-GB" w:eastAsia="ja-JP"/>
        </w:rPr>
        <w:t>BLER of e.g</w:t>
      </w:r>
      <w:r w:rsidR="007C1899">
        <w:rPr>
          <w:rFonts w:ascii="Arial" w:hAnsi="Arial"/>
          <w:lang w:val="en-GB" w:eastAsia="ja-JP"/>
        </w:rPr>
        <w:t>.</w:t>
      </w:r>
      <w:r w:rsidR="00281463">
        <w:rPr>
          <w:rFonts w:ascii="Arial" w:hAnsi="Arial"/>
          <w:lang w:val="en-GB" w:eastAsia="ja-JP"/>
        </w:rPr>
        <w:t xml:space="preserve"> 10%</w:t>
      </w:r>
      <w:r w:rsidR="006D19CE">
        <w:rPr>
          <w:rFonts w:ascii="Arial" w:hAnsi="Arial"/>
          <w:lang w:val="en-GB" w:eastAsia="ja-JP"/>
        </w:rPr>
        <w:t>.</w:t>
      </w:r>
      <w:r w:rsidR="00387610">
        <w:rPr>
          <w:rFonts w:ascii="Arial" w:hAnsi="Arial"/>
          <w:lang w:val="en-GB" w:eastAsia="ja-JP"/>
        </w:rPr>
        <w:t xml:space="preserve"> Therefore, HARQ</w:t>
      </w:r>
      <w:r w:rsidR="007129CB">
        <w:rPr>
          <w:rFonts w:ascii="Arial" w:hAnsi="Arial"/>
          <w:lang w:val="en-GB" w:eastAsia="ja-JP"/>
        </w:rPr>
        <w:t xml:space="preserve"> is not expected to have a dramatic </w:t>
      </w:r>
      <w:r w:rsidR="00281463">
        <w:rPr>
          <w:rFonts w:ascii="Arial" w:hAnsi="Arial"/>
          <w:lang w:val="en-GB" w:eastAsia="ja-JP"/>
        </w:rPr>
        <w:t>effect on throughput.</w:t>
      </w:r>
    </w:p>
    <w:p w14:paraId="53C0BD4A" w14:textId="20B0A0BF" w:rsidR="004F3A41" w:rsidRDefault="00A83100" w:rsidP="0046141F">
      <w:pPr>
        <w:jc w:val="both"/>
        <w:rPr>
          <w:rFonts w:ascii="Arial" w:hAnsi="Arial"/>
          <w:lang w:val="en-GB" w:eastAsia="ja-JP"/>
        </w:rPr>
      </w:pPr>
      <w:r>
        <w:rPr>
          <w:rFonts w:ascii="Arial" w:hAnsi="Arial"/>
          <w:lang w:val="en-GB" w:eastAsia="ja-JP"/>
        </w:rPr>
        <w:t>To investigate this</w:t>
      </w:r>
      <w:r w:rsidR="00EA1835">
        <w:rPr>
          <w:rFonts w:ascii="Arial" w:hAnsi="Arial"/>
          <w:lang w:val="en-GB" w:eastAsia="ja-JP"/>
        </w:rPr>
        <w:t>, link simulations with and without HARQ</w:t>
      </w:r>
      <w:r w:rsidR="007C1899">
        <w:rPr>
          <w:rFonts w:ascii="Arial" w:hAnsi="Arial"/>
          <w:lang w:val="en-GB" w:eastAsia="ja-JP"/>
        </w:rPr>
        <w:t xml:space="preserve"> feedback</w:t>
      </w:r>
      <w:r w:rsidR="00EA1835">
        <w:rPr>
          <w:rFonts w:ascii="Arial" w:hAnsi="Arial"/>
          <w:lang w:val="en-GB" w:eastAsia="ja-JP"/>
        </w:rPr>
        <w:t xml:space="preserve"> were </w:t>
      </w:r>
      <w:r w:rsidR="00D30644">
        <w:rPr>
          <w:rFonts w:ascii="Arial" w:hAnsi="Arial"/>
          <w:lang w:val="en-GB" w:eastAsia="ja-JP"/>
        </w:rPr>
        <w:t>conducted</w:t>
      </w:r>
      <w:r w:rsidR="00EA1835">
        <w:rPr>
          <w:rFonts w:ascii="Arial" w:hAnsi="Arial"/>
          <w:lang w:val="en-GB" w:eastAsia="ja-JP"/>
        </w:rPr>
        <w:t xml:space="preserve">. </w:t>
      </w:r>
      <w:r w:rsidR="00A30A89">
        <w:rPr>
          <w:rFonts w:ascii="Arial" w:hAnsi="Arial"/>
          <w:lang w:val="en-GB" w:eastAsia="ja-JP"/>
        </w:rPr>
        <w:t>T</w:t>
      </w:r>
      <w:r w:rsidR="00E46EDE">
        <w:rPr>
          <w:rFonts w:ascii="Arial" w:hAnsi="Arial"/>
          <w:lang w:val="en-GB" w:eastAsia="ja-JP"/>
        </w:rPr>
        <w:t>hree</w:t>
      </w:r>
      <w:r w:rsidR="004F3A41">
        <w:rPr>
          <w:rFonts w:ascii="Arial" w:hAnsi="Arial"/>
          <w:lang w:val="en-GB" w:eastAsia="ja-JP"/>
        </w:rPr>
        <w:t xml:space="preserve"> </w:t>
      </w:r>
      <w:r w:rsidR="006834E1">
        <w:rPr>
          <w:rFonts w:ascii="Arial" w:hAnsi="Arial"/>
          <w:lang w:val="en-GB" w:eastAsia="ja-JP"/>
        </w:rPr>
        <w:t xml:space="preserve">transmission </w:t>
      </w:r>
      <w:r w:rsidR="00F24C17">
        <w:rPr>
          <w:rFonts w:ascii="Arial" w:hAnsi="Arial"/>
          <w:lang w:val="en-GB" w:eastAsia="ja-JP"/>
        </w:rPr>
        <w:t>case</w:t>
      </w:r>
      <w:bookmarkStart w:id="7" w:name="_GoBack"/>
      <w:bookmarkEnd w:id="7"/>
      <w:r w:rsidR="006834E1">
        <w:rPr>
          <w:rFonts w:ascii="Arial" w:hAnsi="Arial"/>
          <w:lang w:val="en-GB" w:eastAsia="ja-JP"/>
        </w:rPr>
        <w:t>s</w:t>
      </w:r>
      <w:r w:rsidR="004F3A41">
        <w:rPr>
          <w:rFonts w:ascii="Arial" w:hAnsi="Arial"/>
          <w:lang w:val="en-GB" w:eastAsia="ja-JP"/>
        </w:rPr>
        <w:t xml:space="preserve"> are </w:t>
      </w:r>
      <w:r w:rsidR="00EA615A">
        <w:rPr>
          <w:rFonts w:ascii="Arial" w:hAnsi="Arial"/>
          <w:lang w:val="en-GB" w:eastAsia="ja-JP"/>
        </w:rPr>
        <w:t>considered</w:t>
      </w:r>
      <w:r w:rsidR="004F3A41">
        <w:rPr>
          <w:rFonts w:ascii="Arial" w:hAnsi="Arial"/>
          <w:lang w:val="en-GB" w:eastAsia="ja-JP"/>
        </w:rPr>
        <w:t>:</w:t>
      </w:r>
    </w:p>
    <w:p w14:paraId="06E4FA39" w14:textId="4380442A" w:rsidR="004F3A41" w:rsidRDefault="004F3A41" w:rsidP="00D30644">
      <w:pPr>
        <w:pStyle w:val="ListParagraph"/>
        <w:numPr>
          <w:ilvl w:val="0"/>
          <w:numId w:val="34"/>
        </w:numPr>
        <w:jc w:val="both"/>
        <w:rPr>
          <w:rFonts w:ascii="Arial" w:hAnsi="Arial"/>
          <w:lang w:val="en-GB" w:eastAsia="ja-JP"/>
        </w:rPr>
      </w:pPr>
      <w:r w:rsidRPr="004F3A41">
        <w:rPr>
          <w:rFonts w:ascii="Arial" w:hAnsi="Arial"/>
          <w:b/>
          <w:lang w:val="en-GB" w:eastAsia="ja-JP"/>
        </w:rPr>
        <w:t>RLC ARQ</w:t>
      </w:r>
      <w:r>
        <w:rPr>
          <w:rFonts w:ascii="Arial" w:hAnsi="Arial"/>
          <w:lang w:val="en-GB" w:eastAsia="ja-JP"/>
        </w:rPr>
        <w:t>:</w:t>
      </w:r>
      <w:r w:rsidR="00EA1835">
        <w:rPr>
          <w:rFonts w:ascii="Arial" w:hAnsi="Arial"/>
          <w:lang w:val="en-GB" w:eastAsia="ja-JP"/>
        </w:rPr>
        <w:t xml:space="preserve"> </w:t>
      </w:r>
      <w:r w:rsidR="00E46EDE">
        <w:rPr>
          <w:rFonts w:ascii="Arial" w:hAnsi="Arial"/>
          <w:lang w:val="en-GB" w:eastAsia="ja-JP"/>
        </w:rPr>
        <w:t xml:space="preserve">HARQ </w:t>
      </w:r>
      <w:r w:rsidR="00D30644" w:rsidRPr="00D30644">
        <w:rPr>
          <w:rFonts w:ascii="Arial" w:hAnsi="Arial"/>
          <w:lang w:val="en-GB" w:eastAsia="ja-JP"/>
        </w:rPr>
        <w:t>feedback</w:t>
      </w:r>
      <w:r w:rsidR="00E46EDE" w:rsidRPr="00D30644">
        <w:rPr>
          <w:rFonts w:ascii="Arial" w:hAnsi="Arial"/>
          <w:lang w:val="en-GB" w:eastAsia="ja-JP"/>
        </w:rPr>
        <w:t xml:space="preserve"> </w:t>
      </w:r>
      <w:r w:rsidR="00E46EDE">
        <w:rPr>
          <w:rFonts w:ascii="Arial" w:hAnsi="Arial"/>
          <w:lang w:val="en-GB" w:eastAsia="ja-JP"/>
        </w:rPr>
        <w:t xml:space="preserve">is disabled. </w:t>
      </w:r>
      <w:r>
        <w:rPr>
          <w:rFonts w:ascii="Arial" w:hAnsi="Arial"/>
          <w:lang w:val="en-GB" w:eastAsia="ja-JP"/>
        </w:rPr>
        <w:t>R</w:t>
      </w:r>
      <w:r w:rsidR="008C1105">
        <w:rPr>
          <w:rFonts w:ascii="Arial" w:hAnsi="Arial"/>
          <w:lang w:val="en-GB" w:eastAsia="ja-JP"/>
        </w:rPr>
        <w:t>etransmissions of erroneous RLC PDUs</w:t>
      </w:r>
      <w:r w:rsidR="00691C2A">
        <w:rPr>
          <w:rFonts w:ascii="Arial" w:hAnsi="Arial"/>
          <w:lang w:val="en-GB" w:eastAsia="ja-JP"/>
        </w:rPr>
        <w:t xml:space="preserve"> are assumed to be handle</w:t>
      </w:r>
      <w:r w:rsidR="005D2736">
        <w:rPr>
          <w:rFonts w:ascii="Arial" w:hAnsi="Arial"/>
          <w:lang w:val="en-GB" w:eastAsia="ja-JP"/>
        </w:rPr>
        <w:t>d</w:t>
      </w:r>
      <w:r w:rsidR="00691C2A">
        <w:rPr>
          <w:rFonts w:ascii="Arial" w:hAnsi="Arial"/>
          <w:lang w:val="en-GB" w:eastAsia="ja-JP"/>
        </w:rPr>
        <w:t xml:space="preserve"> by the RLC layer</w:t>
      </w:r>
      <w:r w:rsidR="00DD0B30">
        <w:rPr>
          <w:rFonts w:ascii="Arial" w:hAnsi="Arial"/>
          <w:lang w:val="en-GB" w:eastAsia="ja-JP"/>
        </w:rPr>
        <w:t xml:space="preserve">. </w:t>
      </w:r>
      <w:r w:rsidR="00DD0B30" w:rsidRPr="00D30644">
        <w:rPr>
          <w:rFonts w:ascii="Arial" w:hAnsi="Arial"/>
          <w:lang w:val="en-GB" w:eastAsia="ja-JP"/>
        </w:rPr>
        <w:t>T</w:t>
      </w:r>
      <w:r w:rsidR="0058101F" w:rsidRPr="00D30644">
        <w:rPr>
          <w:rFonts w:ascii="Arial" w:hAnsi="Arial"/>
          <w:lang w:val="en-GB" w:eastAsia="ja-JP"/>
        </w:rPr>
        <w:t xml:space="preserve">he </w:t>
      </w:r>
      <w:r w:rsidR="00BE7DFD" w:rsidRPr="00D30644">
        <w:rPr>
          <w:rFonts w:ascii="Arial" w:hAnsi="Arial"/>
          <w:lang w:val="en-GB" w:eastAsia="ja-JP"/>
        </w:rPr>
        <w:t>RLC throughput is calculated based on the physical layer BLER</w:t>
      </w:r>
      <w:r w:rsidR="00215953" w:rsidRPr="00D30644">
        <w:rPr>
          <w:rFonts w:ascii="Arial" w:hAnsi="Arial"/>
          <w:lang w:val="en-GB" w:eastAsia="ja-JP"/>
        </w:rPr>
        <w:t xml:space="preserve"> without HARQ</w:t>
      </w:r>
      <w:r w:rsidR="00D30644">
        <w:rPr>
          <w:rFonts w:ascii="Arial" w:hAnsi="Arial"/>
          <w:lang w:val="en-GB" w:eastAsia="ja-JP"/>
        </w:rPr>
        <w:t xml:space="preserve"> feedback</w:t>
      </w:r>
      <w:r w:rsidR="00591861" w:rsidRPr="00D30644">
        <w:rPr>
          <w:rFonts w:ascii="Arial" w:hAnsi="Arial"/>
          <w:lang w:val="en-GB" w:eastAsia="ja-JP"/>
        </w:rPr>
        <w:t>.</w:t>
      </w:r>
    </w:p>
    <w:p w14:paraId="2315FE79" w14:textId="55144AC3" w:rsidR="000836A3" w:rsidRDefault="005A6852" w:rsidP="00D30644">
      <w:pPr>
        <w:pStyle w:val="ListParagraph"/>
        <w:numPr>
          <w:ilvl w:val="0"/>
          <w:numId w:val="34"/>
        </w:numPr>
        <w:jc w:val="both"/>
        <w:rPr>
          <w:rFonts w:ascii="Arial" w:hAnsi="Arial"/>
          <w:lang w:val="en-GB" w:eastAsia="ja-JP"/>
        </w:rPr>
      </w:pPr>
      <w:r w:rsidRPr="008C3007">
        <w:rPr>
          <w:rFonts w:ascii="Arial" w:hAnsi="Arial"/>
          <w:b/>
          <w:lang w:val="en-GB" w:eastAsia="ja-JP"/>
        </w:rPr>
        <w:t>HARQ</w:t>
      </w:r>
      <w:r w:rsidR="001F29A9" w:rsidRPr="008C3007">
        <w:rPr>
          <w:rFonts w:ascii="Arial" w:hAnsi="Arial"/>
          <w:b/>
          <w:lang w:val="en-GB" w:eastAsia="ja-JP"/>
        </w:rPr>
        <w:t xml:space="preserve"> with </w:t>
      </w:r>
      <w:r w:rsidR="004765B9">
        <w:rPr>
          <w:rFonts w:ascii="Arial" w:hAnsi="Arial"/>
          <w:b/>
          <w:lang w:val="en-GB" w:eastAsia="ja-JP"/>
        </w:rPr>
        <w:t>32/64/128/256</w:t>
      </w:r>
      <w:r w:rsidR="008C3007" w:rsidRPr="008C3007">
        <w:rPr>
          <w:rFonts w:ascii="Arial" w:hAnsi="Arial"/>
          <w:b/>
          <w:lang w:val="en-GB" w:eastAsia="ja-JP"/>
        </w:rPr>
        <w:t xml:space="preserve"> HARQ </w:t>
      </w:r>
      <w:r w:rsidR="00D30644" w:rsidRPr="00D30644">
        <w:rPr>
          <w:rFonts w:ascii="Arial" w:hAnsi="Arial"/>
          <w:b/>
          <w:lang w:val="en-GB" w:eastAsia="ja-JP"/>
        </w:rPr>
        <w:t>process</w:t>
      </w:r>
      <w:r w:rsidR="00D30644">
        <w:rPr>
          <w:rFonts w:ascii="Arial" w:hAnsi="Arial"/>
          <w:b/>
          <w:lang w:val="en-GB" w:eastAsia="ja-JP"/>
        </w:rPr>
        <w:t>es</w:t>
      </w:r>
      <w:r w:rsidR="006834E1" w:rsidRPr="008C3007">
        <w:rPr>
          <w:rFonts w:ascii="Arial" w:hAnsi="Arial"/>
          <w:lang w:val="en-GB" w:eastAsia="ja-JP"/>
        </w:rPr>
        <w:t xml:space="preserve">: HARQ </w:t>
      </w:r>
      <w:r w:rsidR="00D30644">
        <w:rPr>
          <w:rFonts w:ascii="Arial" w:hAnsi="Arial"/>
          <w:lang w:val="en-GB" w:eastAsia="ja-JP"/>
        </w:rPr>
        <w:t>feedback</w:t>
      </w:r>
      <w:r w:rsidR="006834E1" w:rsidRPr="00D30644">
        <w:rPr>
          <w:rFonts w:ascii="Arial" w:hAnsi="Arial"/>
          <w:lang w:val="en-GB" w:eastAsia="ja-JP"/>
        </w:rPr>
        <w:t xml:space="preserve"> </w:t>
      </w:r>
      <w:r w:rsidR="007605D6">
        <w:rPr>
          <w:rFonts w:ascii="Arial" w:hAnsi="Arial"/>
          <w:lang w:val="en-GB" w:eastAsia="ja-JP"/>
        </w:rPr>
        <w:t>is enabled</w:t>
      </w:r>
      <w:r w:rsidR="006834E1" w:rsidRPr="008C3007">
        <w:rPr>
          <w:rFonts w:ascii="Arial" w:hAnsi="Arial"/>
          <w:lang w:val="en-GB" w:eastAsia="ja-JP"/>
        </w:rPr>
        <w:t>.</w:t>
      </w:r>
      <w:r w:rsidR="005955A4" w:rsidRPr="008C3007">
        <w:rPr>
          <w:rFonts w:ascii="Arial" w:hAnsi="Arial"/>
          <w:lang w:val="en-GB" w:eastAsia="ja-JP"/>
        </w:rPr>
        <w:t xml:space="preserve"> </w:t>
      </w:r>
      <w:r w:rsidR="004250CE">
        <w:rPr>
          <w:rFonts w:ascii="Arial" w:hAnsi="Arial"/>
          <w:lang w:val="en-GB" w:eastAsia="ja-JP"/>
        </w:rPr>
        <w:t xml:space="preserve">The </w:t>
      </w:r>
      <w:r w:rsidR="00E97123">
        <w:rPr>
          <w:rFonts w:ascii="Arial" w:hAnsi="Arial"/>
          <w:lang w:val="en-GB" w:eastAsia="ja-JP"/>
        </w:rPr>
        <w:t xml:space="preserve">number of HARQ processes </w:t>
      </w:r>
      <w:r w:rsidR="00053191">
        <w:rPr>
          <w:rFonts w:ascii="Arial" w:hAnsi="Arial"/>
          <w:lang w:val="en-GB" w:eastAsia="ja-JP"/>
        </w:rPr>
        <w:t>corresponds to the RTT</w:t>
      </w:r>
      <w:r w:rsidR="0013611E">
        <w:rPr>
          <w:rFonts w:ascii="Arial" w:hAnsi="Arial"/>
          <w:lang w:val="en-GB" w:eastAsia="ja-JP"/>
        </w:rPr>
        <w:t xml:space="preserve"> to avoid </w:t>
      </w:r>
      <w:r w:rsidR="00AD0572">
        <w:rPr>
          <w:rFonts w:ascii="Arial" w:hAnsi="Arial"/>
          <w:lang w:val="en-GB" w:eastAsia="ja-JP"/>
        </w:rPr>
        <w:t>stalling of the HARQ protocol.</w:t>
      </w:r>
    </w:p>
    <w:p w14:paraId="7D8B4A27" w14:textId="07C127D0" w:rsidR="008C3007" w:rsidRDefault="008C3007" w:rsidP="00D30644">
      <w:pPr>
        <w:pStyle w:val="ListParagraph"/>
        <w:numPr>
          <w:ilvl w:val="0"/>
          <w:numId w:val="34"/>
        </w:numPr>
        <w:jc w:val="both"/>
        <w:rPr>
          <w:rFonts w:ascii="Arial" w:hAnsi="Arial"/>
          <w:lang w:val="en-GB" w:eastAsia="ja-JP"/>
        </w:rPr>
      </w:pPr>
      <w:r w:rsidRPr="00887947">
        <w:rPr>
          <w:rFonts w:ascii="Arial" w:hAnsi="Arial"/>
          <w:b/>
          <w:lang w:val="en-GB" w:eastAsia="ja-JP"/>
        </w:rPr>
        <w:t>HARQ with 16 HARQ processes</w:t>
      </w:r>
      <w:r>
        <w:rPr>
          <w:rFonts w:ascii="Arial" w:hAnsi="Arial"/>
          <w:lang w:val="en-GB" w:eastAsia="ja-JP"/>
        </w:rPr>
        <w:t>:</w:t>
      </w:r>
      <w:r w:rsidR="00F05713">
        <w:rPr>
          <w:rFonts w:ascii="Arial" w:hAnsi="Arial"/>
          <w:lang w:val="en-GB" w:eastAsia="ja-JP"/>
        </w:rPr>
        <w:t xml:space="preserve"> </w:t>
      </w:r>
      <w:r w:rsidR="007605D6">
        <w:rPr>
          <w:rFonts w:ascii="Arial" w:hAnsi="Arial"/>
          <w:lang w:val="en-GB" w:eastAsia="ja-JP"/>
        </w:rPr>
        <w:t xml:space="preserve">HARQ </w:t>
      </w:r>
      <w:r w:rsidR="000606C6">
        <w:rPr>
          <w:rFonts w:ascii="Arial" w:hAnsi="Arial"/>
          <w:lang w:val="en-GB" w:eastAsia="ja-JP"/>
        </w:rPr>
        <w:t>feedback</w:t>
      </w:r>
      <w:r w:rsidR="007605D6" w:rsidRPr="00D30644">
        <w:rPr>
          <w:rFonts w:ascii="Arial" w:hAnsi="Arial"/>
          <w:lang w:val="en-GB" w:eastAsia="ja-JP"/>
        </w:rPr>
        <w:t xml:space="preserve"> </w:t>
      </w:r>
      <w:r w:rsidR="007605D6">
        <w:rPr>
          <w:rFonts w:ascii="Arial" w:hAnsi="Arial"/>
          <w:lang w:val="en-GB" w:eastAsia="ja-JP"/>
        </w:rPr>
        <w:t xml:space="preserve">is enabled. </w:t>
      </w:r>
      <w:r w:rsidR="009217FE">
        <w:rPr>
          <w:rFonts w:ascii="Arial" w:hAnsi="Arial"/>
          <w:lang w:val="en-GB" w:eastAsia="ja-JP"/>
        </w:rPr>
        <w:t xml:space="preserve">The </w:t>
      </w:r>
      <w:r w:rsidR="008618B1">
        <w:rPr>
          <w:rFonts w:ascii="Arial" w:hAnsi="Arial"/>
          <w:lang w:val="en-GB" w:eastAsia="ja-JP"/>
        </w:rPr>
        <w:t xml:space="preserve">number of HARQ processes </w:t>
      </w:r>
      <w:r w:rsidR="007605D6">
        <w:rPr>
          <w:rFonts w:ascii="Arial" w:hAnsi="Arial"/>
          <w:lang w:val="en-GB" w:eastAsia="ja-JP"/>
        </w:rPr>
        <w:t>is 16</w:t>
      </w:r>
      <w:r w:rsidR="0076113E">
        <w:rPr>
          <w:rFonts w:ascii="Arial" w:hAnsi="Arial"/>
          <w:lang w:val="en-GB" w:eastAsia="ja-JP"/>
        </w:rPr>
        <w:t xml:space="preserve">, as </w:t>
      </w:r>
      <w:r w:rsidR="008618B1">
        <w:rPr>
          <w:rFonts w:ascii="Arial" w:hAnsi="Arial"/>
          <w:lang w:val="en-GB" w:eastAsia="ja-JP"/>
        </w:rPr>
        <w:t xml:space="preserve">supported by NR. </w:t>
      </w:r>
      <w:r w:rsidR="00394745">
        <w:rPr>
          <w:rFonts w:ascii="Arial" w:hAnsi="Arial"/>
          <w:lang w:val="en-GB" w:eastAsia="ja-JP"/>
        </w:rPr>
        <w:t xml:space="preserve">Consequently, the </w:t>
      </w:r>
      <w:r w:rsidR="009F6D6E">
        <w:rPr>
          <w:rFonts w:ascii="Arial" w:hAnsi="Arial"/>
          <w:lang w:val="en-GB" w:eastAsia="ja-JP"/>
        </w:rPr>
        <w:t>transmission wi</w:t>
      </w:r>
      <w:r w:rsidR="00301647">
        <w:rPr>
          <w:rFonts w:ascii="Arial" w:hAnsi="Arial"/>
          <w:lang w:val="en-GB" w:eastAsia="ja-JP"/>
        </w:rPr>
        <w:t xml:space="preserve">ll </w:t>
      </w:r>
      <w:r w:rsidR="00C61DA2">
        <w:rPr>
          <w:rFonts w:ascii="Arial" w:hAnsi="Arial"/>
          <w:lang w:val="en-GB" w:eastAsia="ja-JP"/>
        </w:rPr>
        <w:t xml:space="preserve">stop and </w:t>
      </w:r>
      <w:r w:rsidR="00F24F76">
        <w:rPr>
          <w:rFonts w:ascii="Arial" w:hAnsi="Arial"/>
          <w:lang w:val="en-GB" w:eastAsia="ja-JP"/>
        </w:rPr>
        <w:t xml:space="preserve">wait for feedback when </w:t>
      </w:r>
      <w:r w:rsidR="00C61DA2" w:rsidRPr="00D30644">
        <w:rPr>
          <w:rFonts w:ascii="Arial" w:hAnsi="Arial"/>
          <w:lang w:val="en-GB" w:eastAsia="ja-JP"/>
        </w:rPr>
        <w:t>all</w:t>
      </w:r>
      <w:r w:rsidR="000606C6">
        <w:rPr>
          <w:rFonts w:ascii="Arial" w:hAnsi="Arial"/>
          <w:lang w:val="en-GB" w:eastAsia="ja-JP"/>
        </w:rPr>
        <w:t xml:space="preserve"> </w:t>
      </w:r>
      <w:r w:rsidR="00C61DA2">
        <w:rPr>
          <w:rFonts w:ascii="Arial" w:hAnsi="Arial"/>
          <w:lang w:val="en-GB" w:eastAsia="ja-JP"/>
        </w:rPr>
        <w:t xml:space="preserve">the </w:t>
      </w:r>
      <w:r w:rsidR="0068789B">
        <w:rPr>
          <w:rFonts w:ascii="Arial" w:hAnsi="Arial"/>
          <w:lang w:val="en-GB" w:eastAsia="ja-JP"/>
        </w:rPr>
        <w:t xml:space="preserve">HARQ processes </w:t>
      </w:r>
      <w:r w:rsidR="004C6454">
        <w:rPr>
          <w:rFonts w:ascii="Arial" w:hAnsi="Arial"/>
          <w:lang w:val="en-GB" w:eastAsia="ja-JP"/>
        </w:rPr>
        <w:t xml:space="preserve">have outstanding blocks. </w:t>
      </w:r>
      <w:r w:rsidR="000606C6">
        <w:rPr>
          <w:rFonts w:ascii="Arial" w:hAnsi="Arial"/>
          <w:lang w:val="en-GB" w:eastAsia="ja-JP"/>
        </w:rPr>
        <w:t>In t</w:t>
      </w:r>
      <w:r w:rsidR="008A75A8" w:rsidRPr="00D30644">
        <w:rPr>
          <w:rFonts w:ascii="Arial" w:hAnsi="Arial"/>
          <w:lang w:val="en-GB" w:eastAsia="ja-JP"/>
        </w:rPr>
        <w:t>his</w:t>
      </w:r>
      <w:r w:rsidR="008A75A8">
        <w:rPr>
          <w:rFonts w:ascii="Arial" w:hAnsi="Arial"/>
          <w:lang w:val="en-GB" w:eastAsia="ja-JP"/>
        </w:rPr>
        <w:t xml:space="preserve"> </w:t>
      </w:r>
      <w:r w:rsidR="00C91934">
        <w:rPr>
          <w:rFonts w:ascii="Arial" w:hAnsi="Arial"/>
          <w:lang w:val="en-GB" w:eastAsia="ja-JP"/>
        </w:rPr>
        <w:t>case</w:t>
      </w:r>
      <w:r w:rsidR="000606C6">
        <w:rPr>
          <w:rFonts w:ascii="Arial" w:hAnsi="Arial"/>
          <w:lang w:val="en-GB" w:eastAsia="ja-JP"/>
        </w:rPr>
        <w:t>,</w:t>
      </w:r>
      <w:r w:rsidR="008A75A8">
        <w:rPr>
          <w:rFonts w:ascii="Arial" w:hAnsi="Arial"/>
          <w:lang w:val="en-GB" w:eastAsia="ja-JP"/>
        </w:rPr>
        <w:t xml:space="preserve"> the </w:t>
      </w:r>
      <w:r w:rsidR="004C6454">
        <w:rPr>
          <w:rFonts w:ascii="Arial" w:hAnsi="Arial"/>
          <w:lang w:val="en-GB" w:eastAsia="ja-JP"/>
        </w:rPr>
        <w:t xml:space="preserve">throughput is calculated </w:t>
      </w:r>
      <w:r w:rsidR="00712A9E">
        <w:rPr>
          <w:rFonts w:ascii="Arial" w:hAnsi="Arial"/>
          <w:lang w:val="en-GB" w:eastAsia="ja-JP"/>
        </w:rPr>
        <w:t xml:space="preserve">as a fraction of the throughput with </w:t>
      </w:r>
      <w:r w:rsidR="00382CE4">
        <w:rPr>
          <w:rFonts w:ascii="Arial" w:hAnsi="Arial"/>
          <w:lang w:val="en-GB" w:eastAsia="ja-JP"/>
        </w:rPr>
        <w:t xml:space="preserve">a </w:t>
      </w:r>
      <w:proofErr w:type="gramStart"/>
      <w:r w:rsidR="00382CE4">
        <w:rPr>
          <w:rFonts w:ascii="Arial" w:hAnsi="Arial"/>
          <w:lang w:val="en-GB" w:eastAsia="ja-JP"/>
        </w:rPr>
        <w:t>sufficient number of</w:t>
      </w:r>
      <w:proofErr w:type="gramEnd"/>
      <w:r w:rsidR="00382CE4">
        <w:rPr>
          <w:rFonts w:ascii="Arial" w:hAnsi="Arial"/>
          <w:lang w:val="en-GB" w:eastAsia="ja-JP"/>
        </w:rPr>
        <w:t xml:space="preserve"> HARQ processes (e.g., if </w:t>
      </w:r>
      <w:r w:rsidR="0071682E">
        <w:rPr>
          <w:rFonts w:ascii="Arial" w:hAnsi="Arial"/>
          <w:lang w:val="en-GB" w:eastAsia="ja-JP"/>
        </w:rPr>
        <w:t xml:space="preserve">32 HARQ </w:t>
      </w:r>
      <w:r w:rsidR="00E6024A">
        <w:rPr>
          <w:rFonts w:ascii="Arial" w:hAnsi="Arial"/>
          <w:lang w:val="en-GB" w:eastAsia="ja-JP"/>
        </w:rPr>
        <w:t xml:space="preserve">processes are needed, </w:t>
      </w:r>
      <w:r w:rsidR="0071682E">
        <w:rPr>
          <w:rFonts w:ascii="Arial" w:hAnsi="Arial"/>
          <w:lang w:val="en-GB" w:eastAsia="ja-JP"/>
        </w:rPr>
        <w:t>the fraction is 16/32).</w:t>
      </w:r>
    </w:p>
    <w:p w14:paraId="18210D1D" w14:textId="6481DFB2" w:rsidR="000606C6" w:rsidRDefault="000606C6" w:rsidP="000606C6">
      <w:pPr>
        <w:pStyle w:val="BodyText"/>
        <w:rPr>
          <w:lang w:val="en-GB" w:eastAsia="ja-JP"/>
        </w:rPr>
      </w:pPr>
      <w:r>
        <w:rPr>
          <w:lang w:val="en-GB" w:eastAsia="ja-JP"/>
        </w:rPr>
        <w:t xml:space="preserve">The simulation parameters are summarized in </w:t>
      </w:r>
      <w:r>
        <w:rPr>
          <w:lang w:val="en-GB" w:eastAsia="ja-JP"/>
        </w:rPr>
        <w:fldChar w:fldCharType="begin"/>
      </w:r>
      <w:r>
        <w:rPr>
          <w:lang w:val="en-GB" w:eastAsia="ja-JP"/>
        </w:rPr>
        <w:instrText xml:space="preserve"> REF _Ref20742967 \h </w:instrText>
      </w:r>
      <w:r>
        <w:rPr>
          <w:lang w:val="en-GB" w:eastAsia="ja-JP"/>
        </w:rPr>
      </w:r>
      <w:r>
        <w:rPr>
          <w:lang w:val="en-GB" w:eastAsia="ja-JP"/>
        </w:rPr>
        <w:fldChar w:fldCharType="separate"/>
      </w:r>
      <w:r w:rsidR="007C1899">
        <w:t xml:space="preserve">Table </w:t>
      </w:r>
      <w:r w:rsidR="007C1899">
        <w:rPr>
          <w:noProof/>
        </w:rPr>
        <w:t>1</w:t>
      </w:r>
      <w:r>
        <w:rPr>
          <w:lang w:val="en-GB" w:eastAsia="ja-JP"/>
        </w:rPr>
        <w:fldChar w:fldCharType="end"/>
      </w:r>
      <w:r>
        <w:rPr>
          <w:lang w:val="en-GB" w:eastAsia="ja-JP"/>
        </w:rPr>
        <w:t>.</w:t>
      </w:r>
    </w:p>
    <w:p w14:paraId="5EE4BED5" w14:textId="762373BE" w:rsidR="000C6201" w:rsidRPr="000606C6" w:rsidDel="002C663B" w:rsidRDefault="0058328E" w:rsidP="000606C6">
      <w:pPr>
        <w:pStyle w:val="Caption"/>
        <w:jc w:val="center"/>
        <w:rPr>
          <w:rFonts w:ascii="Arial" w:hAnsi="Arial"/>
          <w:lang w:val="en-GB" w:eastAsia="ja-JP"/>
        </w:rPr>
      </w:pPr>
      <w:bookmarkStart w:id="8" w:name="_Ref20742967"/>
      <w:r>
        <w:t xml:space="preserve">Table </w:t>
      </w:r>
      <w:r w:rsidR="009458EC">
        <w:fldChar w:fldCharType="begin"/>
      </w:r>
      <w:r w:rsidR="009458EC">
        <w:instrText xml:space="preserve"> SEQ Table \* ARABIC </w:instrText>
      </w:r>
      <w:r w:rsidR="009458EC">
        <w:fldChar w:fldCharType="separate"/>
      </w:r>
      <w:r w:rsidR="007C1899">
        <w:rPr>
          <w:noProof/>
        </w:rPr>
        <w:t>1</w:t>
      </w:r>
      <w:r w:rsidR="009458EC">
        <w:rPr>
          <w:noProof/>
        </w:rPr>
        <w:fldChar w:fldCharType="end"/>
      </w:r>
      <w:bookmarkEnd w:id="8"/>
      <w:r>
        <w:t xml:space="preserve">: </w:t>
      </w:r>
      <w:r w:rsidR="00505BD4" w:rsidRPr="000606C6">
        <w:t>Link level simulation parameters</w:t>
      </w:r>
    </w:p>
    <w:tbl>
      <w:tblPr>
        <w:tblStyle w:val="TableGrid"/>
        <w:tblW w:w="7890" w:type="dxa"/>
        <w:jc w:val="center"/>
        <w:tblLook w:val="04A0" w:firstRow="1" w:lastRow="0" w:firstColumn="1" w:lastColumn="0" w:noHBand="0" w:noVBand="1"/>
      </w:tblPr>
      <w:tblGrid>
        <w:gridCol w:w="3235"/>
        <w:gridCol w:w="4655"/>
      </w:tblGrid>
      <w:tr w:rsidR="00CB2503" w14:paraId="49B2D622" w14:textId="77777777" w:rsidTr="000606C6">
        <w:trPr>
          <w:jc w:val="center"/>
        </w:trPr>
        <w:tc>
          <w:tcPr>
            <w:tcW w:w="3235" w:type="dxa"/>
            <w:shd w:val="clear" w:color="auto" w:fill="D9D9D9" w:themeFill="background1" w:themeFillShade="D9"/>
            <w:vAlign w:val="center"/>
          </w:tcPr>
          <w:p w14:paraId="7B051A4F" w14:textId="078F880C" w:rsidR="00CB2503" w:rsidRPr="000C6201" w:rsidRDefault="00CB2503" w:rsidP="00CB2503">
            <w:pPr>
              <w:jc w:val="both"/>
              <w:rPr>
                <w:rFonts w:ascii="Arial" w:hAnsi="Arial"/>
                <w:lang w:val="en-GB" w:eastAsia="ja-JP"/>
              </w:rPr>
            </w:pPr>
            <w:r w:rsidRPr="000C6201">
              <w:rPr>
                <w:rFonts w:ascii="Arial" w:hAnsi="Arial"/>
              </w:rPr>
              <w:t>Carrier frequency</w:t>
            </w:r>
          </w:p>
        </w:tc>
        <w:tc>
          <w:tcPr>
            <w:tcW w:w="4655" w:type="dxa"/>
          </w:tcPr>
          <w:p w14:paraId="66864FDE" w14:textId="2CC1F5B2" w:rsidR="00CB2503" w:rsidRPr="000C6201" w:rsidRDefault="00040403" w:rsidP="00CB2503">
            <w:pPr>
              <w:jc w:val="both"/>
              <w:rPr>
                <w:rFonts w:ascii="Arial" w:hAnsi="Arial"/>
                <w:lang w:val="en-GB" w:eastAsia="ja-JP"/>
              </w:rPr>
            </w:pPr>
            <w:r w:rsidRPr="000C6201">
              <w:rPr>
                <w:rFonts w:ascii="Arial" w:hAnsi="Arial"/>
                <w:lang w:val="en-GB" w:eastAsia="ja-JP"/>
              </w:rPr>
              <w:t>2 GHz</w:t>
            </w:r>
          </w:p>
        </w:tc>
      </w:tr>
      <w:tr w:rsidR="00CB2503" w14:paraId="5886E0BD" w14:textId="77777777" w:rsidTr="000606C6">
        <w:trPr>
          <w:jc w:val="center"/>
        </w:trPr>
        <w:tc>
          <w:tcPr>
            <w:tcW w:w="3235" w:type="dxa"/>
            <w:shd w:val="clear" w:color="auto" w:fill="D9D9D9" w:themeFill="background1" w:themeFillShade="D9"/>
            <w:vAlign w:val="center"/>
          </w:tcPr>
          <w:p w14:paraId="2286D26A" w14:textId="4968A274" w:rsidR="00CB2503" w:rsidRPr="000C6201" w:rsidRDefault="00CB2503" w:rsidP="00CB2503">
            <w:pPr>
              <w:jc w:val="both"/>
              <w:rPr>
                <w:rFonts w:ascii="Arial" w:hAnsi="Arial"/>
              </w:rPr>
            </w:pPr>
            <w:r w:rsidRPr="000C6201">
              <w:rPr>
                <w:rFonts w:ascii="Arial" w:hAnsi="Arial"/>
              </w:rPr>
              <w:t>Subcarrier spacing</w:t>
            </w:r>
          </w:p>
        </w:tc>
        <w:tc>
          <w:tcPr>
            <w:tcW w:w="4655" w:type="dxa"/>
          </w:tcPr>
          <w:p w14:paraId="07BF7F64" w14:textId="298B325B" w:rsidR="00CB2503" w:rsidRPr="000C6201" w:rsidRDefault="00040403" w:rsidP="00CB2503">
            <w:pPr>
              <w:jc w:val="both"/>
              <w:rPr>
                <w:rFonts w:ascii="Arial" w:hAnsi="Arial"/>
                <w:lang w:val="en-GB" w:eastAsia="ja-JP"/>
              </w:rPr>
            </w:pPr>
            <w:r w:rsidRPr="000C6201">
              <w:rPr>
                <w:rFonts w:ascii="Arial" w:hAnsi="Arial"/>
                <w:lang w:val="en-GB" w:eastAsia="ja-JP"/>
              </w:rPr>
              <w:t>15 kHz</w:t>
            </w:r>
          </w:p>
        </w:tc>
      </w:tr>
      <w:tr w:rsidR="00CB2503" w14:paraId="763E529D" w14:textId="77777777" w:rsidTr="000606C6">
        <w:trPr>
          <w:jc w:val="center"/>
        </w:trPr>
        <w:tc>
          <w:tcPr>
            <w:tcW w:w="3235" w:type="dxa"/>
            <w:shd w:val="clear" w:color="auto" w:fill="D9D9D9" w:themeFill="background1" w:themeFillShade="D9"/>
            <w:vAlign w:val="center"/>
          </w:tcPr>
          <w:p w14:paraId="2F44099C" w14:textId="4FF45462" w:rsidR="00CB2503" w:rsidRPr="000C6201" w:rsidRDefault="00CB2503" w:rsidP="00CB2503">
            <w:pPr>
              <w:jc w:val="both"/>
              <w:rPr>
                <w:rFonts w:ascii="Arial" w:hAnsi="Arial"/>
              </w:rPr>
            </w:pPr>
            <w:r w:rsidRPr="000C6201">
              <w:rPr>
                <w:rFonts w:ascii="Arial" w:hAnsi="Arial"/>
              </w:rPr>
              <w:t>UE speed</w:t>
            </w:r>
          </w:p>
        </w:tc>
        <w:tc>
          <w:tcPr>
            <w:tcW w:w="4655" w:type="dxa"/>
          </w:tcPr>
          <w:p w14:paraId="65407E68" w14:textId="0CF7D041" w:rsidR="00CB2503" w:rsidRPr="000C6201" w:rsidRDefault="007D5747" w:rsidP="00CB2503">
            <w:pPr>
              <w:jc w:val="both"/>
              <w:rPr>
                <w:rFonts w:ascii="Arial" w:hAnsi="Arial"/>
                <w:lang w:val="en-GB" w:eastAsia="ja-JP"/>
              </w:rPr>
            </w:pPr>
            <w:r w:rsidRPr="000C6201">
              <w:rPr>
                <w:rFonts w:ascii="Arial" w:hAnsi="Arial"/>
                <w:lang w:val="en-GB" w:eastAsia="ja-JP"/>
              </w:rPr>
              <w:t>3 km/h</w:t>
            </w:r>
          </w:p>
        </w:tc>
      </w:tr>
      <w:tr w:rsidR="00CB2503" w:rsidRPr="00735D18" w14:paraId="7D33C955" w14:textId="77777777" w:rsidTr="000606C6">
        <w:trPr>
          <w:jc w:val="center"/>
        </w:trPr>
        <w:tc>
          <w:tcPr>
            <w:tcW w:w="3235" w:type="dxa"/>
            <w:shd w:val="clear" w:color="auto" w:fill="D9D9D9" w:themeFill="background1" w:themeFillShade="D9"/>
            <w:vAlign w:val="center"/>
          </w:tcPr>
          <w:p w14:paraId="4B49D233" w14:textId="46BFB438" w:rsidR="00CB2503" w:rsidRPr="000C6201" w:rsidRDefault="00CB2503" w:rsidP="00CB2503">
            <w:pPr>
              <w:jc w:val="both"/>
              <w:rPr>
                <w:rFonts w:ascii="Arial" w:hAnsi="Arial"/>
              </w:rPr>
            </w:pPr>
            <w:r w:rsidRPr="000C6201">
              <w:rPr>
                <w:rFonts w:ascii="Arial" w:hAnsi="Arial"/>
              </w:rPr>
              <w:t>Channel model</w:t>
            </w:r>
          </w:p>
        </w:tc>
        <w:tc>
          <w:tcPr>
            <w:tcW w:w="4655" w:type="dxa"/>
          </w:tcPr>
          <w:p w14:paraId="472F5099" w14:textId="17AC81AA" w:rsidR="00CB2503" w:rsidRPr="000C6201" w:rsidRDefault="00E736D6" w:rsidP="00CB2503">
            <w:pPr>
              <w:jc w:val="both"/>
              <w:rPr>
                <w:rFonts w:ascii="Arial" w:hAnsi="Arial"/>
                <w:lang w:val="en-GB" w:eastAsia="ja-JP"/>
              </w:rPr>
            </w:pPr>
            <w:r w:rsidRPr="000C6201">
              <w:rPr>
                <w:rFonts w:ascii="Arial" w:hAnsi="Arial"/>
                <w:lang w:val="en-GB" w:eastAsia="ja-JP"/>
              </w:rPr>
              <w:t>NTN-TDL-D, suburban, 30° elevation angle</w:t>
            </w:r>
          </w:p>
        </w:tc>
      </w:tr>
      <w:tr w:rsidR="00CB2503" w14:paraId="6577D7C1" w14:textId="77777777" w:rsidTr="000606C6">
        <w:trPr>
          <w:jc w:val="center"/>
        </w:trPr>
        <w:tc>
          <w:tcPr>
            <w:tcW w:w="3235" w:type="dxa"/>
            <w:shd w:val="clear" w:color="auto" w:fill="D9D9D9" w:themeFill="background1" w:themeFillShade="D9"/>
            <w:vAlign w:val="center"/>
          </w:tcPr>
          <w:p w14:paraId="0B753210" w14:textId="65E83FBD" w:rsidR="00CB2503" w:rsidRPr="000C6201" w:rsidRDefault="000606C6" w:rsidP="001965F5">
            <w:pPr>
              <w:rPr>
                <w:rFonts w:ascii="Arial" w:hAnsi="Arial"/>
              </w:rPr>
            </w:pPr>
            <w:r>
              <w:rPr>
                <w:rFonts w:ascii="Arial" w:hAnsi="Arial"/>
              </w:rPr>
              <w:t>S</w:t>
            </w:r>
            <w:r w:rsidR="00CB2503" w:rsidRPr="000C6201">
              <w:rPr>
                <w:rFonts w:ascii="Arial" w:hAnsi="Arial"/>
              </w:rPr>
              <w:t>atellite antenna configuration</w:t>
            </w:r>
          </w:p>
        </w:tc>
        <w:tc>
          <w:tcPr>
            <w:tcW w:w="4655" w:type="dxa"/>
          </w:tcPr>
          <w:p w14:paraId="003DFF4D" w14:textId="16C2D3DF" w:rsidR="00CB2503" w:rsidRPr="000C6201" w:rsidRDefault="00C43352" w:rsidP="00CB2503">
            <w:pPr>
              <w:jc w:val="both"/>
              <w:rPr>
                <w:rFonts w:ascii="Arial" w:hAnsi="Arial"/>
                <w:lang w:val="en-GB" w:eastAsia="ja-JP"/>
              </w:rPr>
            </w:pPr>
            <w:r w:rsidRPr="000C6201">
              <w:rPr>
                <w:rFonts w:ascii="Arial" w:hAnsi="Arial"/>
                <w:lang w:val="en-GB" w:eastAsia="ja-JP"/>
              </w:rPr>
              <w:t>1 Tx</w:t>
            </w:r>
          </w:p>
        </w:tc>
      </w:tr>
      <w:tr w:rsidR="00CB2503" w:rsidRPr="00735D18" w14:paraId="7ACFC5C9" w14:textId="77777777" w:rsidTr="000606C6">
        <w:trPr>
          <w:jc w:val="center"/>
        </w:trPr>
        <w:tc>
          <w:tcPr>
            <w:tcW w:w="3235" w:type="dxa"/>
            <w:shd w:val="clear" w:color="auto" w:fill="D9D9D9" w:themeFill="background1" w:themeFillShade="D9"/>
            <w:vAlign w:val="center"/>
          </w:tcPr>
          <w:p w14:paraId="423B0941" w14:textId="0FE39F11" w:rsidR="00CB2503" w:rsidRPr="000C6201" w:rsidDel="00F91953" w:rsidRDefault="00CB2503" w:rsidP="00CB2503">
            <w:pPr>
              <w:jc w:val="both"/>
              <w:rPr>
                <w:rFonts w:ascii="Arial" w:hAnsi="Arial"/>
              </w:rPr>
            </w:pPr>
            <w:r w:rsidRPr="000C6201">
              <w:rPr>
                <w:rFonts w:ascii="Arial" w:hAnsi="Arial"/>
              </w:rPr>
              <w:t>UE antenna configuration</w:t>
            </w:r>
          </w:p>
        </w:tc>
        <w:tc>
          <w:tcPr>
            <w:tcW w:w="4655" w:type="dxa"/>
          </w:tcPr>
          <w:p w14:paraId="1926A68A" w14:textId="7AE4F3C5" w:rsidR="00CB2503" w:rsidRPr="00735D18" w:rsidRDefault="00867D80" w:rsidP="00CB2503">
            <w:pPr>
              <w:jc w:val="both"/>
              <w:rPr>
                <w:rFonts w:ascii="Arial" w:hAnsi="Arial"/>
                <w:lang w:eastAsia="ja-JP"/>
              </w:rPr>
            </w:pPr>
            <w:r w:rsidRPr="00735D18">
              <w:rPr>
                <w:rFonts w:ascii="Arial" w:hAnsi="Arial"/>
                <w:lang w:eastAsia="ja-JP"/>
              </w:rPr>
              <w:t>(1, 1, 2) with omni-directional antenna element</w:t>
            </w:r>
          </w:p>
        </w:tc>
      </w:tr>
      <w:tr w:rsidR="001965F5" w14:paraId="3D7D4BB4" w14:textId="77777777" w:rsidTr="000606C6">
        <w:trPr>
          <w:jc w:val="center"/>
        </w:trPr>
        <w:tc>
          <w:tcPr>
            <w:tcW w:w="3235" w:type="dxa"/>
            <w:shd w:val="clear" w:color="auto" w:fill="D9D9D9" w:themeFill="background1" w:themeFillShade="D9"/>
            <w:vAlign w:val="center"/>
          </w:tcPr>
          <w:p w14:paraId="22FD0F3F" w14:textId="485176BC" w:rsidR="001965F5" w:rsidRPr="000C6201" w:rsidRDefault="001965F5" w:rsidP="00CB2503">
            <w:pPr>
              <w:jc w:val="both"/>
              <w:rPr>
                <w:rFonts w:ascii="Arial" w:hAnsi="Arial"/>
              </w:rPr>
            </w:pPr>
            <w:r>
              <w:rPr>
                <w:rFonts w:ascii="Arial" w:hAnsi="Arial"/>
              </w:rPr>
              <w:t>RTT</w:t>
            </w:r>
          </w:p>
        </w:tc>
        <w:tc>
          <w:tcPr>
            <w:tcW w:w="4655" w:type="dxa"/>
          </w:tcPr>
          <w:p w14:paraId="613EB39C" w14:textId="02007F73" w:rsidR="001965F5" w:rsidRPr="000C6201" w:rsidRDefault="000606C6" w:rsidP="00CB2503">
            <w:pPr>
              <w:jc w:val="both"/>
              <w:rPr>
                <w:rFonts w:ascii="Arial" w:hAnsi="Arial"/>
                <w:lang w:eastAsia="ja-JP"/>
              </w:rPr>
            </w:pPr>
            <w:r>
              <w:rPr>
                <w:rFonts w:ascii="Arial" w:hAnsi="Arial"/>
                <w:lang w:eastAsia="ja-JP"/>
              </w:rPr>
              <w:t>{</w:t>
            </w:r>
            <w:r w:rsidR="00562A82">
              <w:rPr>
                <w:rFonts w:ascii="Arial" w:hAnsi="Arial"/>
                <w:lang w:eastAsia="ja-JP"/>
              </w:rPr>
              <w:t>32, 64, 128, 256</w:t>
            </w:r>
            <w:r>
              <w:rPr>
                <w:rFonts w:ascii="Arial" w:hAnsi="Arial"/>
                <w:lang w:eastAsia="ja-JP"/>
              </w:rPr>
              <w:t>}</w:t>
            </w:r>
            <w:r w:rsidR="00562A82">
              <w:rPr>
                <w:rFonts w:ascii="Arial" w:hAnsi="Arial"/>
                <w:lang w:eastAsia="ja-JP"/>
              </w:rPr>
              <w:t xml:space="preserve"> ms</w:t>
            </w:r>
          </w:p>
        </w:tc>
      </w:tr>
    </w:tbl>
    <w:p w14:paraId="0C6285AD" w14:textId="5766B336" w:rsidR="002C663B" w:rsidRDefault="002C663B" w:rsidP="00D7461F">
      <w:pPr>
        <w:pStyle w:val="BodyText"/>
        <w:rPr>
          <w:lang w:val="en-GB" w:eastAsia="ja-JP"/>
        </w:rPr>
      </w:pPr>
    </w:p>
    <w:p w14:paraId="1E095547" w14:textId="7E61BE8B" w:rsidR="00F76DD3" w:rsidRDefault="00F76DD3" w:rsidP="00F76DD3">
      <w:pPr>
        <w:pStyle w:val="BodyText"/>
        <w:rPr>
          <w:lang w:val="en-GB" w:eastAsia="ja-JP"/>
        </w:rPr>
      </w:pPr>
      <w:r>
        <w:rPr>
          <w:lang w:val="en-GB" w:eastAsia="ja-JP"/>
        </w:rPr>
        <w:t xml:space="preserve">The </w:t>
      </w:r>
      <w:r w:rsidR="009303CE">
        <w:rPr>
          <w:lang w:val="en-GB" w:eastAsia="ja-JP"/>
        </w:rPr>
        <w:t xml:space="preserve">throughput versus SNR </w:t>
      </w:r>
      <w:r w:rsidR="008A698D">
        <w:rPr>
          <w:lang w:val="en-GB" w:eastAsia="ja-JP"/>
        </w:rPr>
        <w:t>for a</w:t>
      </w:r>
      <w:r w:rsidR="000606C6">
        <w:rPr>
          <w:lang w:val="en-GB" w:eastAsia="ja-JP"/>
        </w:rPr>
        <w:t>n</w:t>
      </w:r>
      <w:r w:rsidR="008A698D">
        <w:rPr>
          <w:lang w:val="en-GB" w:eastAsia="ja-JP"/>
        </w:rPr>
        <w:t xml:space="preserve"> RTT of 32 </w:t>
      </w:r>
      <w:proofErr w:type="spellStart"/>
      <w:r w:rsidR="008A698D">
        <w:rPr>
          <w:lang w:val="en-GB" w:eastAsia="ja-JP"/>
        </w:rPr>
        <w:t>ms</w:t>
      </w:r>
      <w:proofErr w:type="spellEnd"/>
      <w:r w:rsidR="0064121A">
        <w:rPr>
          <w:lang w:val="en-GB" w:eastAsia="ja-JP"/>
        </w:rPr>
        <w:t xml:space="preserve"> is shown in </w:t>
      </w:r>
      <w:r w:rsidR="0064121A">
        <w:rPr>
          <w:lang w:val="en-GB" w:eastAsia="ja-JP"/>
        </w:rPr>
        <w:fldChar w:fldCharType="begin"/>
      </w:r>
      <w:r w:rsidR="0064121A">
        <w:rPr>
          <w:lang w:val="en-GB" w:eastAsia="ja-JP"/>
        </w:rPr>
        <w:instrText xml:space="preserve"> REF _Ref20744690 \h </w:instrText>
      </w:r>
      <w:r w:rsidR="0064121A">
        <w:rPr>
          <w:lang w:val="en-GB" w:eastAsia="ja-JP"/>
        </w:rPr>
      </w:r>
      <w:r w:rsidR="0064121A">
        <w:rPr>
          <w:lang w:val="en-GB" w:eastAsia="ja-JP"/>
        </w:rPr>
        <w:fldChar w:fldCharType="separate"/>
      </w:r>
      <w:r w:rsidR="007C1899" w:rsidRPr="00735D18">
        <w:t xml:space="preserve">Figure </w:t>
      </w:r>
      <w:r w:rsidR="007C1899">
        <w:rPr>
          <w:noProof/>
        </w:rPr>
        <w:t>1</w:t>
      </w:r>
      <w:r w:rsidR="0064121A">
        <w:rPr>
          <w:lang w:val="en-GB" w:eastAsia="ja-JP"/>
        </w:rPr>
        <w:fldChar w:fldCharType="end"/>
      </w:r>
      <w:r w:rsidR="0064121A">
        <w:rPr>
          <w:lang w:val="en-GB" w:eastAsia="ja-JP"/>
        </w:rPr>
        <w:t>.</w:t>
      </w:r>
      <w:r w:rsidR="008A074F">
        <w:rPr>
          <w:lang w:val="en-GB" w:eastAsia="ja-JP"/>
        </w:rPr>
        <w:t xml:space="preserve"> As expected, the throughput </w:t>
      </w:r>
      <w:r w:rsidR="00F91F9F">
        <w:rPr>
          <w:lang w:val="en-GB" w:eastAsia="ja-JP"/>
        </w:rPr>
        <w:t xml:space="preserve">with HARQ </w:t>
      </w:r>
      <w:r w:rsidR="000606C6">
        <w:rPr>
          <w:lang w:val="en-GB" w:eastAsia="ja-JP"/>
        </w:rPr>
        <w:t>feedback</w:t>
      </w:r>
      <w:r w:rsidR="00F91F9F">
        <w:rPr>
          <w:lang w:val="en-GB" w:eastAsia="ja-JP"/>
        </w:rPr>
        <w:t xml:space="preserve"> enabled is only slightly </w:t>
      </w:r>
      <w:r w:rsidR="00EF5731">
        <w:rPr>
          <w:lang w:val="en-GB" w:eastAsia="ja-JP"/>
        </w:rPr>
        <w:t xml:space="preserve">higher than the throughput with HARQ </w:t>
      </w:r>
      <w:r w:rsidR="000606C6">
        <w:rPr>
          <w:lang w:val="en-GB" w:eastAsia="ja-JP"/>
        </w:rPr>
        <w:t>feedback</w:t>
      </w:r>
      <w:r w:rsidR="00EF5731">
        <w:rPr>
          <w:lang w:val="en-GB" w:eastAsia="ja-JP"/>
        </w:rPr>
        <w:t xml:space="preserve"> disabled (RLC ARQ only).</w:t>
      </w:r>
      <w:r w:rsidR="00F80B22">
        <w:rPr>
          <w:lang w:val="en-GB" w:eastAsia="ja-JP"/>
        </w:rPr>
        <w:t xml:space="preserve"> Both schemes </w:t>
      </w:r>
      <w:r w:rsidR="006D7FC4">
        <w:rPr>
          <w:lang w:val="en-GB" w:eastAsia="ja-JP"/>
        </w:rPr>
        <w:t>give</w:t>
      </w:r>
      <w:r w:rsidR="005224D8">
        <w:rPr>
          <w:lang w:val="en-GB" w:eastAsia="ja-JP"/>
        </w:rPr>
        <w:t xml:space="preserve"> significantly </w:t>
      </w:r>
      <w:r w:rsidR="006D7FC4">
        <w:rPr>
          <w:lang w:val="en-GB" w:eastAsia="ja-JP"/>
        </w:rPr>
        <w:t xml:space="preserve">higher throughput </w:t>
      </w:r>
      <w:r w:rsidR="005224D8">
        <w:rPr>
          <w:lang w:val="en-GB" w:eastAsia="ja-JP"/>
        </w:rPr>
        <w:t xml:space="preserve">than </w:t>
      </w:r>
      <w:r w:rsidR="006D7FC4">
        <w:rPr>
          <w:lang w:val="en-GB" w:eastAsia="ja-JP"/>
        </w:rPr>
        <w:t>HARQ with 16 processes.</w:t>
      </w:r>
    </w:p>
    <w:p w14:paraId="6093B603" w14:textId="65EBCF98" w:rsidR="0046141F" w:rsidRPr="00735D18" w:rsidRDefault="00735D18" w:rsidP="00A72754">
      <w:pPr>
        <w:pStyle w:val="BodyText"/>
        <w:keepNext/>
        <w:jc w:val="center"/>
      </w:pPr>
      <w:r>
        <w:rPr>
          <w:rFonts w:asciiTheme="minorHAnsi" w:hAnsiTheme="minorHAnsi"/>
          <w:noProof/>
          <w:sz w:val="16"/>
          <w:szCs w:val="16"/>
        </w:rPr>
        <w:drawing>
          <wp:inline distT="0" distB="0" distL="0" distR="0" wp14:anchorId="2287D87B" wp14:editId="6FFC1AB6">
            <wp:extent cx="4388400" cy="3290400"/>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p_HARQnoHARQ_32_TDL_D_ideal.png"/>
                    <pic:cNvPicPr/>
                  </pic:nvPicPr>
                  <pic:blipFill>
                    <a:blip r:embed="rId11">
                      <a:extLst>
                        <a:ext uri="{28A0092B-C50C-407E-A947-70E740481C1C}">
                          <a14:useLocalDpi xmlns:a14="http://schemas.microsoft.com/office/drawing/2010/main" val="0"/>
                        </a:ext>
                      </a:extLst>
                    </a:blip>
                    <a:stretch>
                      <a:fillRect/>
                    </a:stretch>
                  </pic:blipFill>
                  <pic:spPr>
                    <a:xfrm>
                      <a:off x="0" y="0"/>
                      <a:ext cx="4388400" cy="3290400"/>
                    </a:xfrm>
                    <a:prstGeom prst="rect">
                      <a:avLst/>
                    </a:prstGeom>
                  </pic:spPr>
                </pic:pic>
              </a:graphicData>
            </a:graphic>
          </wp:inline>
        </w:drawing>
      </w:r>
    </w:p>
    <w:p w14:paraId="1DBA7725" w14:textId="3714EF37" w:rsidR="0046141F" w:rsidRPr="00735D18" w:rsidRDefault="00316181" w:rsidP="000606C6">
      <w:pPr>
        <w:pStyle w:val="Caption"/>
        <w:jc w:val="center"/>
      </w:pPr>
      <w:bookmarkStart w:id="9" w:name="_Ref20744690"/>
      <w:r w:rsidRPr="00735D18">
        <w:t xml:space="preserve">Figure </w:t>
      </w:r>
      <w:r>
        <w:fldChar w:fldCharType="begin"/>
      </w:r>
      <w:r w:rsidRPr="00735D18">
        <w:instrText xml:space="preserve"> SEQ Figure \* ARABIC </w:instrText>
      </w:r>
      <w:r>
        <w:fldChar w:fldCharType="separate"/>
      </w:r>
      <w:r w:rsidR="007C1899">
        <w:rPr>
          <w:noProof/>
        </w:rPr>
        <w:t>1</w:t>
      </w:r>
      <w:r>
        <w:fldChar w:fldCharType="end"/>
      </w:r>
      <w:bookmarkEnd w:id="9"/>
      <w:r w:rsidRPr="00735D18">
        <w:t xml:space="preserve">: </w:t>
      </w:r>
      <w:r w:rsidR="00DE131F" w:rsidRPr="00735D18">
        <w:t>Downlink t</w:t>
      </w:r>
      <w:r w:rsidR="00627C48" w:rsidRPr="00735D18">
        <w:t xml:space="preserve">hroughput </w:t>
      </w:r>
      <w:r w:rsidR="00CD5CD9" w:rsidRPr="00735D18">
        <w:t xml:space="preserve">versus SNR </w:t>
      </w:r>
      <w:r w:rsidR="0016020A" w:rsidRPr="00735D18">
        <w:t>for RTT</w:t>
      </w:r>
      <w:r w:rsidR="000606C6" w:rsidRPr="00735D18">
        <w:t xml:space="preserve"> </w:t>
      </w:r>
      <w:r w:rsidR="0016020A" w:rsidRPr="00735D18">
        <w:t>=</w:t>
      </w:r>
      <w:r w:rsidR="000606C6" w:rsidRPr="00735D18">
        <w:t xml:space="preserve"> </w:t>
      </w:r>
      <w:r w:rsidR="0016020A" w:rsidRPr="00735D18">
        <w:t xml:space="preserve">32 </w:t>
      </w:r>
      <w:proofErr w:type="spellStart"/>
      <w:r w:rsidR="0016020A" w:rsidRPr="00735D18">
        <w:t>ms</w:t>
      </w:r>
      <w:proofErr w:type="spellEnd"/>
      <w:r w:rsidR="0016020A" w:rsidRPr="00735D18">
        <w:t xml:space="preserve">, </w:t>
      </w:r>
      <w:r w:rsidR="00CD5CD9" w:rsidRPr="00735D18">
        <w:t xml:space="preserve">with </w:t>
      </w:r>
      <w:r w:rsidR="009039D3" w:rsidRPr="00735D18">
        <w:t xml:space="preserve">HARQ </w:t>
      </w:r>
      <w:r w:rsidR="000606C6" w:rsidRPr="00735D18">
        <w:t>feedback</w:t>
      </w:r>
      <w:r w:rsidR="009039D3" w:rsidRPr="00735D18">
        <w:t xml:space="preserve"> disabled (RLC ARQ </w:t>
      </w:r>
      <w:r w:rsidR="002D27C6" w:rsidRPr="00735D18">
        <w:t xml:space="preserve">only) and HARQ </w:t>
      </w:r>
      <w:r w:rsidR="000606C6" w:rsidRPr="00735D18">
        <w:t>feedback</w:t>
      </w:r>
      <w:r w:rsidR="002D27C6" w:rsidRPr="00735D18">
        <w:t xml:space="preserve"> enabled with </w:t>
      </w:r>
      <w:r w:rsidR="00344690" w:rsidRPr="00735D18">
        <w:t>32</w:t>
      </w:r>
      <w:r w:rsidR="002D27C6" w:rsidRPr="00735D18">
        <w:t xml:space="preserve"> and 16 HARQ processes.</w:t>
      </w:r>
    </w:p>
    <w:p w14:paraId="793ED6ED" w14:textId="75E6BB06" w:rsidR="004D29C8" w:rsidRPr="00985E95" w:rsidRDefault="00A046A4" w:rsidP="0046141F">
      <w:pPr>
        <w:jc w:val="both"/>
        <w:rPr>
          <w:rFonts w:ascii="Arial" w:hAnsi="Arial"/>
          <w:lang w:eastAsia="ja-JP"/>
        </w:rPr>
      </w:pPr>
      <w:r w:rsidRPr="00985E95">
        <w:rPr>
          <w:rFonts w:ascii="Arial" w:hAnsi="Arial"/>
          <w:lang w:eastAsia="ja-JP"/>
        </w:rPr>
        <w:t xml:space="preserve">Similar results </w:t>
      </w:r>
      <w:r w:rsidR="007E731B" w:rsidRPr="00985E95">
        <w:rPr>
          <w:rFonts w:ascii="Arial" w:hAnsi="Arial"/>
          <w:lang w:eastAsia="ja-JP"/>
        </w:rPr>
        <w:t xml:space="preserve">for </w:t>
      </w:r>
      <w:r w:rsidR="002C783F" w:rsidRPr="00985E95">
        <w:rPr>
          <w:rFonts w:ascii="Arial" w:hAnsi="Arial"/>
          <w:lang w:eastAsia="ja-JP"/>
        </w:rPr>
        <w:t>RTT</w:t>
      </w:r>
      <w:r w:rsidR="002E2480" w:rsidRPr="00985E95">
        <w:rPr>
          <w:rFonts w:ascii="Arial" w:hAnsi="Arial"/>
          <w:lang w:eastAsia="ja-JP"/>
        </w:rPr>
        <w:t xml:space="preserve"> of </w:t>
      </w:r>
      <w:r w:rsidR="00013FC8" w:rsidRPr="00985E95">
        <w:rPr>
          <w:rFonts w:ascii="Arial" w:hAnsi="Arial"/>
          <w:lang w:eastAsia="ja-JP"/>
        </w:rPr>
        <w:t xml:space="preserve">64, 128 </w:t>
      </w:r>
      <w:r w:rsidR="002E2480" w:rsidRPr="00985E95">
        <w:rPr>
          <w:rFonts w:ascii="Arial" w:hAnsi="Arial"/>
          <w:lang w:eastAsia="ja-JP"/>
        </w:rPr>
        <w:t xml:space="preserve">and 256 </w:t>
      </w:r>
      <w:proofErr w:type="spellStart"/>
      <w:r w:rsidR="002E2480" w:rsidRPr="00985E95">
        <w:rPr>
          <w:rFonts w:ascii="Arial" w:hAnsi="Arial"/>
          <w:lang w:eastAsia="ja-JP"/>
        </w:rPr>
        <w:t>ms</w:t>
      </w:r>
      <w:proofErr w:type="spellEnd"/>
      <w:r w:rsidR="002E2480" w:rsidRPr="00985E95">
        <w:rPr>
          <w:rFonts w:ascii="Arial" w:hAnsi="Arial"/>
          <w:lang w:eastAsia="ja-JP"/>
        </w:rPr>
        <w:t xml:space="preserve"> are shown in </w:t>
      </w:r>
      <w:r w:rsidR="002E2480" w:rsidRPr="002E2480">
        <w:rPr>
          <w:rFonts w:ascii="Arial" w:hAnsi="Arial"/>
          <w:lang w:eastAsia="ja-JP"/>
        </w:rPr>
        <w:fldChar w:fldCharType="begin"/>
      </w:r>
      <w:r w:rsidR="002E2480" w:rsidRPr="00985E95">
        <w:rPr>
          <w:rFonts w:ascii="Arial" w:hAnsi="Arial"/>
          <w:lang w:eastAsia="ja-JP"/>
        </w:rPr>
        <w:instrText xml:space="preserve"> REF _Ref20744912 \h  \* MERGEFORMAT </w:instrText>
      </w:r>
      <w:r w:rsidR="002E2480" w:rsidRPr="002E2480">
        <w:rPr>
          <w:rFonts w:ascii="Arial" w:hAnsi="Arial"/>
          <w:lang w:eastAsia="ja-JP"/>
        </w:rPr>
      </w:r>
      <w:r w:rsidR="002E2480" w:rsidRPr="002E2480">
        <w:rPr>
          <w:rFonts w:ascii="Arial" w:hAnsi="Arial"/>
          <w:lang w:eastAsia="ja-JP"/>
        </w:rPr>
        <w:fldChar w:fldCharType="separate"/>
      </w:r>
      <w:r w:rsidR="007C1899" w:rsidRPr="007C1899">
        <w:rPr>
          <w:rFonts w:ascii="Arial" w:hAnsi="Arial"/>
        </w:rPr>
        <w:t xml:space="preserve">Figure </w:t>
      </w:r>
      <w:r w:rsidR="007C1899" w:rsidRPr="007C1899">
        <w:rPr>
          <w:rFonts w:ascii="Arial" w:hAnsi="Arial"/>
          <w:noProof/>
        </w:rPr>
        <w:t>2</w:t>
      </w:r>
      <w:r w:rsidR="002E2480" w:rsidRPr="002E2480">
        <w:rPr>
          <w:rFonts w:ascii="Arial" w:hAnsi="Arial"/>
          <w:lang w:eastAsia="ja-JP"/>
        </w:rPr>
        <w:fldChar w:fldCharType="end"/>
      </w:r>
      <w:r w:rsidR="002E2480" w:rsidRPr="00985E95">
        <w:rPr>
          <w:rFonts w:ascii="Arial" w:hAnsi="Arial"/>
          <w:lang w:eastAsia="ja-JP"/>
        </w:rPr>
        <w:t xml:space="preserve">, </w:t>
      </w:r>
      <w:r w:rsidR="002E2480" w:rsidRPr="002E2480">
        <w:rPr>
          <w:rFonts w:ascii="Arial" w:hAnsi="Arial"/>
          <w:lang w:eastAsia="ja-JP"/>
        </w:rPr>
        <w:fldChar w:fldCharType="begin"/>
      </w:r>
      <w:r w:rsidR="002E2480" w:rsidRPr="00985E95">
        <w:rPr>
          <w:rFonts w:ascii="Arial" w:hAnsi="Arial"/>
          <w:lang w:eastAsia="ja-JP"/>
        </w:rPr>
        <w:instrText xml:space="preserve"> REF _Ref20744914 \h  \* MERGEFORMAT </w:instrText>
      </w:r>
      <w:r w:rsidR="002E2480" w:rsidRPr="002E2480">
        <w:rPr>
          <w:rFonts w:ascii="Arial" w:hAnsi="Arial"/>
          <w:lang w:eastAsia="ja-JP"/>
        </w:rPr>
      </w:r>
      <w:r w:rsidR="002E2480" w:rsidRPr="002E2480">
        <w:rPr>
          <w:rFonts w:ascii="Arial" w:hAnsi="Arial"/>
          <w:lang w:eastAsia="ja-JP"/>
        </w:rPr>
        <w:fldChar w:fldCharType="separate"/>
      </w:r>
      <w:r w:rsidR="007C1899" w:rsidRPr="007C1899">
        <w:rPr>
          <w:rFonts w:ascii="Arial" w:hAnsi="Arial"/>
        </w:rPr>
        <w:t xml:space="preserve">Figure </w:t>
      </w:r>
      <w:r w:rsidR="007C1899" w:rsidRPr="007C1899">
        <w:rPr>
          <w:rFonts w:ascii="Arial" w:hAnsi="Arial"/>
          <w:noProof/>
        </w:rPr>
        <w:t>3</w:t>
      </w:r>
      <w:r w:rsidR="002E2480" w:rsidRPr="002E2480">
        <w:rPr>
          <w:rFonts w:ascii="Arial" w:hAnsi="Arial"/>
          <w:lang w:eastAsia="ja-JP"/>
        </w:rPr>
        <w:fldChar w:fldCharType="end"/>
      </w:r>
      <w:r w:rsidR="002E2480" w:rsidRPr="00985E95">
        <w:rPr>
          <w:rFonts w:ascii="Arial" w:hAnsi="Arial"/>
          <w:lang w:eastAsia="ja-JP"/>
        </w:rPr>
        <w:t xml:space="preserve"> and </w:t>
      </w:r>
      <w:r w:rsidR="002E2480" w:rsidRPr="002E2480">
        <w:rPr>
          <w:rFonts w:ascii="Arial" w:hAnsi="Arial"/>
          <w:lang w:eastAsia="ja-JP"/>
        </w:rPr>
        <w:fldChar w:fldCharType="begin"/>
      </w:r>
      <w:r w:rsidR="002E2480" w:rsidRPr="00985E95">
        <w:rPr>
          <w:rFonts w:ascii="Arial" w:hAnsi="Arial"/>
          <w:lang w:eastAsia="ja-JP"/>
        </w:rPr>
        <w:instrText xml:space="preserve"> REF _Ref20744916 \h  \* MERGEFORMAT </w:instrText>
      </w:r>
      <w:r w:rsidR="002E2480" w:rsidRPr="002E2480">
        <w:rPr>
          <w:rFonts w:ascii="Arial" w:hAnsi="Arial"/>
          <w:lang w:eastAsia="ja-JP"/>
        </w:rPr>
      </w:r>
      <w:r w:rsidR="002E2480" w:rsidRPr="002E2480">
        <w:rPr>
          <w:rFonts w:ascii="Arial" w:hAnsi="Arial"/>
          <w:lang w:eastAsia="ja-JP"/>
        </w:rPr>
        <w:fldChar w:fldCharType="separate"/>
      </w:r>
      <w:r w:rsidR="007C1899" w:rsidRPr="007C1899">
        <w:rPr>
          <w:rFonts w:ascii="Arial" w:hAnsi="Arial"/>
        </w:rPr>
        <w:t xml:space="preserve">Figure </w:t>
      </w:r>
      <w:r w:rsidR="007C1899" w:rsidRPr="007C1899">
        <w:rPr>
          <w:rFonts w:ascii="Arial" w:hAnsi="Arial"/>
          <w:noProof/>
        </w:rPr>
        <w:t>4</w:t>
      </w:r>
      <w:r w:rsidR="002E2480" w:rsidRPr="002E2480">
        <w:rPr>
          <w:rFonts w:ascii="Arial" w:hAnsi="Arial"/>
          <w:lang w:eastAsia="ja-JP"/>
        </w:rPr>
        <w:fldChar w:fldCharType="end"/>
      </w:r>
      <w:r w:rsidR="002E2480" w:rsidRPr="00985E95">
        <w:rPr>
          <w:rFonts w:ascii="Arial" w:hAnsi="Arial"/>
          <w:lang w:eastAsia="ja-JP"/>
        </w:rPr>
        <w:t xml:space="preserve">, respectively. </w:t>
      </w:r>
    </w:p>
    <w:p w14:paraId="055B339C" w14:textId="758D9AB2" w:rsidR="00740018" w:rsidRDefault="00B02DF3" w:rsidP="00740018">
      <w:pPr>
        <w:keepNext/>
        <w:jc w:val="center"/>
        <w:rPr>
          <w:rFonts w:ascii="Arial" w:hAnsi="Arial"/>
          <w:lang w:val="en-GB" w:eastAsia="ja-JP"/>
        </w:rPr>
      </w:pPr>
      <w:r>
        <w:rPr>
          <w:rFonts w:ascii="Arial" w:hAnsi="Arial"/>
          <w:noProof/>
          <w:lang w:val="en-GB" w:eastAsia="ja-JP"/>
        </w:rPr>
        <w:drawing>
          <wp:inline distT="0" distB="0" distL="0" distR="0" wp14:anchorId="5474A71C" wp14:editId="769E2ECE">
            <wp:extent cx="4388400" cy="3290400"/>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hp_HARQnoHARQ_64_TDL_D_ideal.png"/>
                    <pic:cNvPicPr/>
                  </pic:nvPicPr>
                  <pic:blipFill>
                    <a:blip r:embed="rId12">
                      <a:extLst>
                        <a:ext uri="{28A0092B-C50C-407E-A947-70E740481C1C}">
                          <a14:useLocalDpi xmlns:a14="http://schemas.microsoft.com/office/drawing/2010/main" val="0"/>
                        </a:ext>
                      </a:extLst>
                    </a:blip>
                    <a:stretch>
                      <a:fillRect/>
                    </a:stretch>
                  </pic:blipFill>
                  <pic:spPr>
                    <a:xfrm>
                      <a:off x="0" y="0"/>
                      <a:ext cx="4388400" cy="3290400"/>
                    </a:xfrm>
                    <a:prstGeom prst="rect">
                      <a:avLst/>
                    </a:prstGeom>
                  </pic:spPr>
                </pic:pic>
              </a:graphicData>
            </a:graphic>
          </wp:inline>
        </w:drawing>
      </w:r>
    </w:p>
    <w:p w14:paraId="31A43BC9" w14:textId="40D5300B" w:rsidR="00E21C3E" w:rsidRPr="00735D18" w:rsidRDefault="00E21C3E" w:rsidP="00E21C3E">
      <w:pPr>
        <w:pStyle w:val="Caption"/>
        <w:jc w:val="center"/>
      </w:pPr>
      <w:bookmarkStart w:id="10" w:name="_Ref20744912"/>
      <w:r w:rsidRPr="00735D18">
        <w:t xml:space="preserve">Figure </w:t>
      </w:r>
      <w:r>
        <w:fldChar w:fldCharType="begin"/>
      </w:r>
      <w:r w:rsidRPr="00735D18">
        <w:instrText xml:space="preserve"> SEQ Figure \* ARABIC </w:instrText>
      </w:r>
      <w:r>
        <w:fldChar w:fldCharType="separate"/>
      </w:r>
      <w:r w:rsidR="007C1899">
        <w:rPr>
          <w:noProof/>
        </w:rPr>
        <w:t>2</w:t>
      </w:r>
      <w:r>
        <w:fldChar w:fldCharType="end"/>
      </w:r>
      <w:bookmarkEnd w:id="10"/>
      <w:r w:rsidRPr="00735D18">
        <w:t>: Downlink throughput versus SNR for RTT</w:t>
      </w:r>
      <w:r w:rsidR="000606C6" w:rsidRPr="00735D18">
        <w:t xml:space="preserve"> </w:t>
      </w:r>
      <w:r w:rsidRPr="00735D18">
        <w:t>=</w:t>
      </w:r>
      <w:r w:rsidR="000606C6" w:rsidRPr="00735D18">
        <w:t xml:space="preserve"> </w:t>
      </w:r>
      <w:r w:rsidRPr="00735D18">
        <w:t xml:space="preserve">64 </w:t>
      </w:r>
      <w:proofErr w:type="spellStart"/>
      <w:r w:rsidRPr="00735D18">
        <w:t>ms</w:t>
      </w:r>
      <w:proofErr w:type="spellEnd"/>
      <w:r w:rsidRPr="00735D18">
        <w:t xml:space="preserve">, with HARQ </w:t>
      </w:r>
      <w:r w:rsidR="000606C6" w:rsidRPr="00735D18">
        <w:t xml:space="preserve">feedback </w:t>
      </w:r>
      <w:r w:rsidRPr="00735D18">
        <w:t xml:space="preserve">disabled (RLC ARQ only) and HARQ </w:t>
      </w:r>
      <w:r w:rsidR="000606C6" w:rsidRPr="00735D18">
        <w:t xml:space="preserve">feedback </w:t>
      </w:r>
      <w:r w:rsidRPr="00735D18">
        <w:t>enabled with 64 and 16 HARQ processes.</w:t>
      </w:r>
    </w:p>
    <w:p w14:paraId="7FFF0E2F" w14:textId="39DA3996" w:rsidR="006800C2" w:rsidRDefault="00FD7B9B" w:rsidP="005B10E4">
      <w:pPr>
        <w:keepNext/>
        <w:jc w:val="center"/>
        <w:rPr>
          <w:rFonts w:ascii="Arial" w:hAnsi="Arial"/>
          <w:lang w:val="en-GB" w:eastAsia="ja-JP"/>
        </w:rPr>
      </w:pPr>
      <w:r>
        <w:rPr>
          <w:rFonts w:ascii="Arial" w:hAnsi="Arial"/>
          <w:noProof/>
          <w:lang w:val="en-GB" w:eastAsia="ja-JP"/>
        </w:rPr>
        <w:drawing>
          <wp:inline distT="0" distB="0" distL="0" distR="0" wp14:anchorId="03E01207" wp14:editId="3BFEB6E5">
            <wp:extent cx="4388400" cy="3290400"/>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hp_HARQnoHARQ_128_TDL_D_ideal.png"/>
                    <pic:cNvPicPr/>
                  </pic:nvPicPr>
                  <pic:blipFill>
                    <a:blip r:embed="rId13">
                      <a:extLst>
                        <a:ext uri="{28A0092B-C50C-407E-A947-70E740481C1C}">
                          <a14:useLocalDpi xmlns:a14="http://schemas.microsoft.com/office/drawing/2010/main" val="0"/>
                        </a:ext>
                      </a:extLst>
                    </a:blip>
                    <a:stretch>
                      <a:fillRect/>
                    </a:stretch>
                  </pic:blipFill>
                  <pic:spPr>
                    <a:xfrm>
                      <a:off x="0" y="0"/>
                      <a:ext cx="4388400" cy="3290400"/>
                    </a:xfrm>
                    <a:prstGeom prst="rect">
                      <a:avLst/>
                    </a:prstGeom>
                  </pic:spPr>
                </pic:pic>
              </a:graphicData>
            </a:graphic>
          </wp:inline>
        </w:drawing>
      </w:r>
    </w:p>
    <w:p w14:paraId="2A2B4C3E" w14:textId="1295EE8D" w:rsidR="006800C2" w:rsidRPr="00735D18" w:rsidRDefault="006800C2" w:rsidP="006800C2">
      <w:pPr>
        <w:pStyle w:val="Caption"/>
        <w:jc w:val="center"/>
      </w:pPr>
      <w:bookmarkStart w:id="11" w:name="_Ref20744914"/>
      <w:r w:rsidRPr="00735D18">
        <w:t xml:space="preserve">Figure </w:t>
      </w:r>
      <w:r>
        <w:fldChar w:fldCharType="begin"/>
      </w:r>
      <w:r w:rsidRPr="00735D18">
        <w:instrText xml:space="preserve"> SEQ Figure \* ARABIC </w:instrText>
      </w:r>
      <w:r>
        <w:fldChar w:fldCharType="separate"/>
      </w:r>
      <w:r w:rsidR="007C1899">
        <w:rPr>
          <w:noProof/>
        </w:rPr>
        <w:t>3</w:t>
      </w:r>
      <w:r>
        <w:fldChar w:fldCharType="end"/>
      </w:r>
      <w:bookmarkEnd w:id="11"/>
      <w:r w:rsidRPr="00735D18">
        <w:t>: Downlink throughput versus SNR for RTT</w:t>
      </w:r>
      <w:r w:rsidR="000606C6" w:rsidRPr="00735D18">
        <w:t xml:space="preserve"> </w:t>
      </w:r>
      <w:r w:rsidRPr="00735D18">
        <w:t>=</w:t>
      </w:r>
      <w:r w:rsidR="000606C6" w:rsidRPr="00735D18">
        <w:t xml:space="preserve"> </w:t>
      </w:r>
      <w:r w:rsidRPr="00735D18">
        <w:t xml:space="preserve">128 </w:t>
      </w:r>
      <w:proofErr w:type="spellStart"/>
      <w:r w:rsidRPr="00735D18">
        <w:t>ms</w:t>
      </w:r>
      <w:proofErr w:type="spellEnd"/>
      <w:r w:rsidRPr="00735D18">
        <w:t xml:space="preserve">, with HARQ </w:t>
      </w:r>
      <w:r w:rsidR="000606C6" w:rsidRPr="00735D18">
        <w:t>feedback</w:t>
      </w:r>
      <w:r w:rsidRPr="00735D18">
        <w:t xml:space="preserve"> disabled (RLC ARQ only) and HARQ </w:t>
      </w:r>
      <w:r w:rsidR="000606C6" w:rsidRPr="00735D18">
        <w:t xml:space="preserve">feedback </w:t>
      </w:r>
      <w:r w:rsidRPr="00735D18">
        <w:t>enabled with 128 and 16 HARQ processes.</w:t>
      </w:r>
    </w:p>
    <w:p w14:paraId="283AC252" w14:textId="2C7810F3" w:rsidR="006800C2" w:rsidRDefault="00276DD6" w:rsidP="005B10E4">
      <w:pPr>
        <w:pStyle w:val="Caption"/>
        <w:keepNext/>
        <w:jc w:val="center"/>
        <w:rPr>
          <w:rFonts w:ascii="Arial" w:hAnsi="Arial"/>
          <w:lang w:val="en-GB" w:eastAsia="ja-JP"/>
        </w:rPr>
      </w:pPr>
      <w:r>
        <w:rPr>
          <w:rFonts w:ascii="Arial" w:hAnsi="Arial"/>
          <w:noProof/>
          <w:lang w:val="en-GB" w:eastAsia="ja-JP"/>
        </w:rPr>
        <w:drawing>
          <wp:inline distT="0" distB="0" distL="0" distR="0" wp14:anchorId="152F05E2" wp14:editId="543BF53B">
            <wp:extent cx="4388400" cy="3290400"/>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hp_HARQnoHARQ_256_TDL_D_ideal.png"/>
                    <pic:cNvPicPr/>
                  </pic:nvPicPr>
                  <pic:blipFill>
                    <a:blip r:embed="rId14">
                      <a:extLst>
                        <a:ext uri="{28A0092B-C50C-407E-A947-70E740481C1C}">
                          <a14:useLocalDpi xmlns:a14="http://schemas.microsoft.com/office/drawing/2010/main" val="0"/>
                        </a:ext>
                      </a:extLst>
                    </a:blip>
                    <a:stretch>
                      <a:fillRect/>
                    </a:stretch>
                  </pic:blipFill>
                  <pic:spPr>
                    <a:xfrm>
                      <a:off x="0" y="0"/>
                      <a:ext cx="4388400" cy="3290400"/>
                    </a:xfrm>
                    <a:prstGeom prst="rect">
                      <a:avLst/>
                    </a:prstGeom>
                  </pic:spPr>
                </pic:pic>
              </a:graphicData>
            </a:graphic>
          </wp:inline>
        </w:drawing>
      </w:r>
    </w:p>
    <w:p w14:paraId="023F11C5" w14:textId="158EA7D2" w:rsidR="006800C2" w:rsidRPr="00735D18" w:rsidRDefault="006800C2" w:rsidP="00E10C44">
      <w:pPr>
        <w:pStyle w:val="Caption"/>
        <w:jc w:val="center"/>
      </w:pPr>
      <w:bookmarkStart w:id="12" w:name="_Ref20744916"/>
      <w:r w:rsidRPr="00735D18">
        <w:t xml:space="preserve">Figure </w:t>
      </w:r>
      <w:r>
        <w:fldChar w:fldCharType="begin"/>
      </w:r>
      <w:r w:rsidRPr="00735D18">
        <w:instrText xml:space="preserve"> SEQ Figure \* ARABIC </w:instrText>
      </w:r>
      <w:r>
        <w:fldChar w:fldCharType="separate"/>
      </w:r>
      <w:r w:rsidR="007C1899">
        <w:rPr>
          <w:noProof/>
        </w:rPr>
        <w:t>4</w:t>
      </w:r>
      <w:r>
        <w:fldChar w:fldCharType="end"/>
      </w:r>
      <w:bookmarkEnd w:id="12"/>
      <w:r w:rsidRPr="00735D18">
        <w:t>: Downlink throughput versus SNR for RTT</w:t>
      </w:r>
      <w:r w:rsidR="000606C6" w:rsidRPr="00735D18">
        <w:t xml:space="preserve"> </w:t>
      </w:r>
      <w:r w:rsidRPr="00735D18">
        <w:t>=</w:t>
      </w:r>
      <w:r w:rsidR="000606C6" w:rsidRPr="00735D18">
        <w:t xml:space="preserve"> </w:t>
      </w:r>
      <w:r w:rsidRPr="00735D18">
        <w:t xml:space="preserve">256 </w:t>
      </w:r>
      <w:proofErr w:type="spellStart"/>
      <w:r w:rsidRPr="00735D18">
        <w:t>ms</w:t>
      </w:r>
      <w:proofErr w:type="spellEnd"/>
      <w:r w:rsidRPr="00735D18">
        <w:t>, with HARQ disabled (RLC ARQ only) and HARQ enabled with 256 and 16 HARQ processes.</w:t>
      </w:r>
    </w:p>
    <w:p w14:paraId="721C534C" w14:textId="5370EC0F" w:rsidR="0046141F" w:rsidRPr="00735D18" w:rsidRDefault="0046141F" w:rsidP="0046141F">
      <w:pPr>
        <w:pStyle w:val="Observation"/>
        <w:overflowPunct w:val="0"/>
        <w:autoSpaceDE w:val="0"/>
        <w:autoSpaceDN w:val="0"/>
        <w:adjustRightInd w:val="0"/>
        <w:spacing w:line="240" w:lineRule="auto"/>
        <w:textAlignment w:val="baseline"/>
      </w:pPr>
      <w:bookmarkStart w:id="13" w:name="_Toc19281091"/>
      <w:bookmarkStart w:id="14" w:name="_Toc21078611"/>
      <w:r w:rsidRPr="00735D18">
        <w:t>Evaluation results show that compared to increasing</w:t>
      </w:r>
      <w:r w:rsidR="007C1899">
        <w:t xml:space="preserve"> the</w:t>
      </w:r>
      <w:r w:rsidRPr="00735D18">
        <w:t xml:space="preserve"> number of HARQ processes, HARQ without feedback achieves similar throughput performance.</w:t>
      </w:r>
      <w:bookmarkEnd w:id="13"/>
      <w:bookmarkEnd w:id="14"/>
      <w:r w:rsidRPr="00735D18">
        <w:t xml:space="preserve"> </w:t>
      </w:r>
    </w:p>
    <w:p w14:paraId="43B47E39" w14:textId="6E8F0104" w:rsidR="0046141F" w:rsidRDefault="0046141F" w:rsidP="00D30644">
      <w:pPr>
        <w:jc w:val="both"/>
        <w:rPr>
          <w:rFonts w:ascii="Arial" w:hAnsi="Arial"/>
          <w:lang w:val="en-GB" w:eastAsia="ja-JP"/>
        </w:rPr>
      </w:pPr>
      <w:r>
        <w:rPr>
          <w:rFonts w:ascii="Arial" w:hAnsi="Arial"/>
          <w:lang w:val="en-GB" w:eastAsia="ja-JP"/>
        </w:rPr>
        <w:t xml:space="preserve">Based on the observations from evaluation results, we make the following proposal to recommend RAN1 to conclude that there is no need to increase the number of HARQ processes for NTN. </w:t>
      </w:r>
    </w:p>
    <w:p w14:paraId="55DC92E3" w14:textId="1EFC0A0E" w:rsidR="004B05D8" w:rsidRPr="00735D18" w:rsidRDefault="0046141F" w:rsidP="001A5A7B">
      <w:pPr>
        <w:pStyle w:val="Proposal"/>
      </w:pPr>
      <w:bookmarkStart w:id="15" w:name="_Toc19281097"/>
      <w:bookmarkStart w:id="16" w:name="_Toc21078614"/>
      <w:r w:rsidRPr="00735D18">
        <w:t>RAN1 to conclude that there is no need to increase the number of HARQ processes for NTN.</w:t>
      </w:r>
      <w:bookmarkEnd w:id="15"/>
      <w:bookmarkEnd w:id="16"/>
    </w:p>
    <w:p w14:paraId="5300F849" w14:textId="18599418" w:rsidR="00C01F33" w:rsidRPr="00CE0424" w:rsidRDefault="00C01F33" w:rsidP="00CE0424">
      <w:pPr>
        <w:pStyle w:val="Heading1"/>
      </w:pPr>
      <w:r w:rsidRPr="00CE0424">
        <w:t>Conclusion</w:t>
      </w:r>
    </w:p>
    <w:p w14:paraId="5457A0DE" w14:textId="21F7EAD3" w:rsidR="00EC6B83" w:rsidRPr="00B3738A" w:rsidRDefault="00F03DAF" w:rsidP="00D6223C">
      <w:pPr>
        <w:jc w:val="both"/>
        <w:rPr>
          <w:rFonts w:ascii="Arial" w:hAnsi="Arial"/>
          <w:b/>
          <w:bCs/>
        </w:rPr>
      </w:pPr>
      <w:r w:rsidRPr="00735D18">
        <w:rPr>
          <w:rFonts w:ascii="Arial" w:hAnsi="Arial"/>
        </w:rPr>
        <w:t>In the previous sections</w:t>
      </w:r>
      <w:r w:rsidR="00C836D8" w:rsidRPr="00735D18">
        <w:rPr>
          <w:rFonts w:ascii="Arial" w:hAnsi="Arial"/>
        </w:rPr>
        <w:t xml:space="preserve">, we </w:t>
      </w:r>
      <w:r w:rsidR="00D6223C" w:rsidRPr="00735D18">
        <w:rPr>
          <w:rFonts w:ascii="Arial" w:hAnsi="Arial"/>
        </w:rPr>
        <w:t>discuss</w:t>
      </w:r>
      <w:r w:rsidR="00AF0CE3" w:rsidRPr="00735D18">
        <w:rPr>
          <w:rFonts w:ascii="Arial" w:hAnsi="Arial"/>
        </w:rPr>
        <w:t xml:space="preserve"> more delay tolerant retransmission mechanisms for</w:t>
      </w:r>
      <w:r w:rsidR="00D6223C" w:rsidRPr="00735D18">
        <w:rPr>
          <w:rFonts w:ascii="Arial" w:hAnsi="Arial"/>
        </w:rPr>
        <w:t xml:space="preserve"> NTN</w:t>
      </w:r>
      <w:r w:rsidR="0053334B" w:rsidRPr="00735D18">
        <w:rPr>
          <w:rFonts w:ascii="Arial" w:hAnsi="Arial"/>
        </w:rPr>
        <w:t xml:space="preserve">. </w:t>
      </w:r>
      <w:r w:rsidR="00D6223C" w:rsidRPr="00B3738A">
        <w:rPr>
          <w:rFonts w:ascii="Arial" w:hAnsi="Arial"/>
        </w:rPr>
        <w:t>W</w:t>
      </w:r>
      <w:r w:rsidR="009F06A5" w:rsidRPr="00B3738A">
        <w:rPr>
          <w:rFonts w:ascii="Arial" w:hAnsi="Arial"/>
        </w:rPr>
        <w:t>e made the following observations:</w:t>
      </w:r>
      <w:r w:rsidR="009F06A5" w:rsidRPr="00B3738A">
        <w:rPr>
          <w:rFonts w:ascii="Arial" w:hAnsi="Arial"/>
          <w:b/>
          <w:bCs/>
        </w:rPr>
        <w:t xml:space="preserve"> </w:t>
      </w:r>
    </w:p>
    <w:p w14:paraId="476B0DA4" w14:textId="247A544A" w:rsidR="007C1899" w:rsidRDefault="009F06A5">
      <w:pPr>
        <w:pStyle w:val="TableofFigures"/>
        <w:tabs>
          <w:tab w:val="right" w:leader="dot" w:pos="9629"/>
        </w:tabs>
        <w:rPr>
          <w:rFonts w:asciiTheme="minorHAnsi" w:hAnsiTheme="minorHAnsi"/>
          <w:b w:val="0"/>
          <w:noProof/>
        </w:rPr>
      </w:pPr>
      <w:r w:rsidRPr="00B3738A">
        <w:rPr>
          <w:b w:val="0"/>
          <w:bCs/>
        </w:rPr>
        <w:fldChar w:fldCharType="begin"/>
      </w:r>
      <w:r w:rsidRPr="00B3738A">
        <w:rPr>
          <w:b w:val="0"/>
          <w:bCs/>
        </w:rPr>
        <w:instrText xml:space="preserve"> TOC \f O \n \h \z \t "Observation" \c </w:instrText>
      </w:r>
      <w:r w:rsidRPr="00B3738A">
        <w:rPr>
          <w:b w:val="0"/>
          <w:bCs/>
        </w:rPr>
        <w:fldChar w:fldCharType="separate"/>
      </w:r>
      <w:hyperlink w:anchor="_Toc21078610" w:history="1">
        <w:r w:rsidR="007C1899" w:rsidRPr="00977170">
          <w:rPr>
            <w:rStyle w:val="Hyperlink"/>
            <w:noProof/>
          </w:rPr>
          <w:t>Observation 1</w:t>
        </w:r>
        <w:r w:rsidR="007C1899">
          <w:rPr>
            <w:rFonts w:asciiTheme="minorHAnsi" w:hAnsiTheme="minorHAnsi"/>
            <w:b w:val="0"/>
            <w:noProof/>
          </w:rPr>
          <w:tab/>
        </w:r>
        <w:r w:rsidR="007C1899" w:rsidRPr="00977170">
          <w:rPr>
            <w:rStyle w:val="Hyperlink"/>
            <w:noProof/>
          </w:rPr>
          <w:t>The</w:t>
        </w:r>
        <w:r w:rsidR="007C1899" w:rsidRPr="00977170">
          <w:rPr>
            <w:rStyle w:val="Hyperlink"/>
            <w:noProof/>
            <w:lang w:val="en-GB"/>
          </w:rPr>
          <w:t xml:space="preserve"> motivation of increasing number of HARQ processes is not clear, as there exist several other ways to address the issue originated from the stop-and-wait HARQ protocol.</w:t>
        </w:r>
      </w:hyperlink>
    </w:p>
    <w:p w14:paraId="70F7279D" w14:textId="1C0A02BE" w:rsidR="007C1899" w:rsidRDefault="009458EC">
      <w:pPr>
        <w:pStyle w:val="TableofFigures"/>
        <w:tabs>
          <w:tab w:val="right" w:leader="dot" w:pos="9629"/>
        </w:tabs>
        <w:rPr>
          <w:rFonts w:asciiTheme="minorHAnsi" w:hAnsiTheme="minorHAnsi"/>
          <w:b w:val="0"/>
          <w:noProof/>
        </w:rPr>
      </w:pPr>
      <w:hyperlink w:anchor="_Toc21078611" w:history="1">
        <w:r w:rsidR="007C1899" w:rsidRPr="00977170">
          <w:rPr>
            <w:rStyle w:val="Hyperlink"/>
            <w:noProof/>
          </w:rPr>
          <w:t>Observation 2</w:t>
        </w:r>
        <w:r w:rsidR="007C1899">
          <w:rPr>
            <w:rFonts w:asciiTheme="minorHAnsi" w:hAnsiTheme="minorHAnsi"/>
            <w:b w:val="0"/>
            <w:noProof/>
          </w:rPr>
          <w:tab/>
        </w:r>
        <w:r w:rsidR="007C1899" w:rsidRPr="00977170">
          <w:rPr>
            <w:rStyle w:val="Hyperlink"/>
            <w:noProof/>
          </w:rPr>
          <w:t>Evaluation results show that compared to increasing the number of HARQ processes, HARQ without feedback achieves similar throughput performance.</w:t>
        </w:r>
      </w:hyperlink>
    </w:p>
    <w:p w14:paraId="3FD31450" w14:textId="728730E1" w:rsidR="009F06A5" w:rsidRPr="00B3738A" w:rsidRDefault="009F06A5" w:rsidP="009F06A5">
      <w:pPr>
        <w:pStyle w:val="BodyText"/>
      </w:pPr>
      <w:r w:rsidRPr="00B3738A">
        <w:rPr>
          <w:b/>
          <w:bCs/>
        </w:rPr>
        <w:fldChar w:fldCharType="end"/>
      </w:r>
    </w:p>
    <w:p w14:paraId="1FBF2552" w14:textId="77777777" w:rsidR="009F06A5" w:rsidRPr="00735D18" w:rsidRDefault="009F06A5" w:rsidP="009F06A5">
      <w:pPr>
        <w:pStyle w:val="BodyText"/>
      </w:pPr>
      <w:r w:rsidRPr="00735D18">
        <w:t>Based on the discussion in the previous sections we propose the following:</w:t>
      </w:r>
    </w:p>
    <w:p w14:paraId="0B711D4E" w14:textId="77777777" w:rsidR="007C1899" w:rsidRDefault="009F06A5">
      <w:pPr>
        <w:pStyle w:val="TableofFigures"/>
        <w:tabs>
          <w:tab w:val="right" w:leader="dot" w:pos="9629"/>
        </w:tabs>
        <w:rPr>
          <w:rFonts w:asciiTheme="minorHAnsi" w:hAnsiTheme="minorHAnsi"/>
          <w:b w:val="0"/>
          <w:noProof/>
        </w:rPr>
      </w:pPr>
      <w:r w:rsidRPr="00B3738A">
        <w:rPr>
          <w:b w:val="0"/>
          <w:bCs/>
        </w:rPr>
        <w:fldChar w:fldCharType="begin"/>
      </w:r>
      <w:r w:rsidRPr="00B3738A">
        <w:rPr>
          <w:b w:val="0"/>
          <w:bCs/>
        </w:rPr>
        <w:instrText xml:space="preserve"> TOC \n \h \z \t "Proposal" \c </w:instrText>
      </w:r>
      <w:r w:rsidRPr="00B3738A">
        <w:rPr>
          <w:b w:val="0"/>
          <w:bCs/>
        </w:rPr>
        <w:fldChar w:fldCharType="separate"/>
      </w:r>
      <w:hyperlink w:anchor="_Toc21078612" w:history="1">
        <w:r w:rsidR="007C1899" w:rsidRPr="00574E0E">
          <w:rPr>
            <w:rStyle w:val="Hyperlink"/>
            <w:noProof/>
          </w:rPr>
          <w:t>Proposal 1</w:t>
        </w:r>
        <w:r w:rsidR="007C1899">
          <w:rPr>
            <w:rFonts w:asciiTheme="minorHAnsi" w:hAnsiTheme="minorHAnsi"/>
            <w:b w:val="0"/>
            <w:noProof/>
          </w:rPr>
          <w:tab/>
        </w:r>
        <w:r w:rsidR="007C1899" w:rsidRPr="00574E0E">
          <w:rPr>
            <w:rStyle w:val="Hyperlink"/>
            <w:noProof/>
          </w:rPr>
          <w:t>Transmission parameters for HARQ processes with feedback enabled/disabled should be allowed to be configured differently. For example, it should be supported to configure a higher aggregation factor for HARQ processes with feedback disabled, while a lower aggregation factor can be configured for HARQ processes with feedback enabled.</w:t>
        </w:r>
      </w:hyperlink>
    </w:p>
    <w:p w14:paraId="0D7DE8B2" w14:textId="77777777" w:rsidR="007C1899" w:rsidRDefault="009458EC">
      <w:pPr>
        <w:pStyle w:val="TableofFigures"/>
        <w:tabs>
          <w:tab w:val="right" w:leader="dot" w:pos="9629"/>
        </w:tabs>
        <w:rPr>
          <w:rFonts w:asciiTheme="minorHAnsi" w:hAnsiTheme="minorHAnsi"/>
          <w:b w:val="0"/>
          <w:noProof/>
        </w:rPr>
      </w:pPr>
      <w:hyperlink w:anchor="_Toc21078613" w:history="1">
        <w:r w:rsidR="007C1899" w:rsidRPr="00574E0E">
          <w:rPr>
            <w:rStyle w:val="Hyperlink"/>
            <w:noProof/>
          </w:rPr>
          <w:t>Proposal 2</w:t>
        </w:r>
        <w:r w:rsidR="007C1899">
          <w:rPr>
            <w:rFonts w:asciiTheme="minorHAnsi" w:hAnsiTheme="minorHAnsi"/>
            <w:b w:val="0"/>
            <w:noProof/>
          </w:rPr>
          <w:tab/>
        </w:r>
        <w:r w:rsidR="007C1899" w:rsidRPr="00574E0E">
          <w:rPr>
            <w:rStyle w:val="Hyperlink"/>
            <w:noProof/>
          </w:rPr>
          <w:t>The existing Rel-15 NR functionality should be used as the baseline for achieving lower BLER target. RAN1 to evaluate the effectiveness of the Rel-15 methods for achieving lower BLER target before any new methods are considered.</w:t>
        </w:r>
      </w:hyperlink>
    </w:p>
    <w:p w14:paraId="3254A059" w14:textId="77777777" w:rsidR="007C1899" w:rsidRDefault="009458EC">
      <w:pPr>
        <w:pStyle w:val="TableofFigures"/>
        <w:tabs>
          <w:tab w:val="right" w:leader="dot" w:pos="9629"/>
        </w:tabs>
        <w:rPr>
          <w:rFonts w:asciiTheme="minorHAnsi" w:hAnsiTheme="minorHAnsi"/>
          <w:b w:val="0"/>
          <w:noProof/>
        </w:rPr>
      </w:pPr>
      <w:hyperlink w:anchor="_Toc21078614" w:history="1">
        <w:r w:rsidR="007C1899" w:rsidRPr="00574E0E">
          <w:rPr>
            <w:rStyle w:val="Hyperlink"/>
            <w:noProof/>
          </w:rPr>
          <w:t>Proposal 3</w:t>
        </w:r>
        <w:r w:rsidR="007C1899">
          <w:rPr>
            <w:rFonts w:asciiTheme="minorHAnsi" w:hAnsiTheme="minorHAnsi"/>
            <w:b w:val="0"/>
            <w:noProof/>
          </w:rPr>
          <w:tab/>
        </w:r>
        <w:r w:rsidR="007C1899" w:rsidRPr="00574E0E">
          <w:rPr>
            <w:rStyle w:val="Hyperlink"/>
            <w:noProof/>
          </w:rPr>
          <w:t>RAN1 to conclude that there is no need to increase the number of HARQ processes for NTN.</w:t>
        </w:r>
      </w:hyperlink>
    </w:p>
    <w:p w14:paraId="7FDB652A" w14:textId="15C04058" w:rsidR="009F06A5" w:rsidRPr="00B3738A" w:rsidRDefault="009F06A5" w:rsidP="00752E43">
      <w:pPr>
        <w:rPr>
          <w:highlight w:val="yellow"/>
        </w:rPr>
      </w:pPr>
      <w:r w:rsidRPr="00B3738A">
        <w:rPr>
          <w:b/>
          <w:bCs/>
        </w:rPr>
        <w:fldChar w:fldCharType="end"/>
      </w:r>
    </w:p>
    <w:p w14:paraId="43055322" w14:textId="1A950341" w:rsidR="00185E4A" w:rsidRPr="00114AE3" w:rsidRDefault="00F507D1" w:rsidP="00114AE3">
      <w:pPr>
        <w:pStyle w:val="Heading1"/>
      </w:pPr>
      <w:bookmarkStart w:id="17" w:name="_In-sequence_SDU_delivery"/>
      <w:bookmarkEnd w:id="17"/>
      <w:r w:rsidRPr="00CE0424">
        <w:t>References</w:t>
      </w:r>
      <w:bookmarkStart w:id="18" w:name="_Ref510504022"/>
      <w:bookmarkStart w:id="19" w:name="_Ref510814820"/>
      <w:bookmarkStart w:id="20" w:name="_Ref174151459"/>
      <w:bookmarkStart w:id="21" w:name="_Ref189809556"/>
    </w:p>
    <w:p w14:paraId="4F9FEF26" w14:textId="032EF183" w:rsidR="003E0B74" w:rsidRPr="00735D18" w:rsidRDefault="005C1021" w:rsidP="005F78B5">
      <w:pPr>
        <w:pStyle w:val="Reference"/>
      </w:pPr>
      <w:bookmarkStart w:id="22" w:name="_Ref20915636"/>
      <w:bookmarkEnd w:id="18"/>
      <w:bookmarkEnd w:id="19"/>
      <w:bookmarkEnd w:id="20"/>
      <w:bookmarkEnd w:id="21"/>
      <w:r w:rsidRPr="00735D18">
        <w:t>3GPP TR 38.811</w:t>
      </w:r>
      <w:r w:rsidR="00A22D73" w:rsidRPr="00735D18">
        <w:t>, “Study on New Radio (NR) to support non-terrestrial networks”</w:t>
      </w:r>
      <w:bookmarkEnd w:id="22"/>
    </w:p>
    <w:p w14:paraId="51CB2E5E" w14:textId="30F68944" w:rsidR="00DA598F" w:rsidRDefault="00DA598F" w:rsidP="00CE6FF5">
      <w:pPr>
        <w:pStyle w:val="Heading1"/>
      </w:pPr>
      <w:r>
        <w:t>Appendix: RAN1 agreements</w:t>
      </w:r>
    </w:p>
    <w:p w14:paraId="7EE44D3A" w14:textId="24CDB5C4" w:rsidR="00DA598F" w:rsidRDefault="00DA598F" w:rsidP="00DA598F">
      <w:pPr>
        <w:pStyle w:val="Reference"/>
        <w:numPr>
          <w:ilvl w:val="0"/>
          <w:numId w:val="0"/>
        </w:numPr>
        <w:ind w:left="567" w:hanging="567"/>
      </w:pPr>
      <w:r>
        <w:rPr>
          <w:noProof/>
        </w:rPr>
        <mc:AlternateContent>
          <mc:Choice Requires="wps">
            <w:drawing>
              <wp:inline distT="0" distB="0" distL="0" distR="0" wp14:anchorId="5AC64FCE" wp14:editId="5C1FAE08">
                <wp:extent cx="6120765" cy="2355273"/>
                <wp:effectExtent l="0" t="0" r="13335" b="26035"/>
                <wp:docPr id="1" name="Text Box 1"/>
                <wp:cNvGraphicFramePr/>
                <a:graphic xmlns:a="http://schemas.openxmlformats.org/drawingml/2006/main">
                  <a:graphicData uri="http://schemas.microsoft.com/office/word/2010/wordprocessingShape">
                    <wps:wsp>
                      <wps:cNvSpPr txBox="1"/>
                      <wps:spPr>
                        <a:xfrm>
                          <a:off x="0" y="0"/>
                          <a:ext cx="6120765" cy="2355273"/>
                        </a:xfrm>
                        <a:prstGeom prst="rect">
                          <a:avLst/>
                        </a:prstGeom>
                        <a:solidFill>
                          <a:schemeClr val="lt1"/>
                        </a:solidFill>
                        <a:ln w="6350">
                          <a:solidFill>
                            <a:prstClr val="black"/>
                          </a:solidFill>
                        </a:ln>
                      </wps:spPr>
                      <wps:txbx>
                        <w:txbxContent>
                          <w:p w14:paraId="17739825" w14:textId="77777777" w:rsidR="00DA598F" w:rsidRPr="00735D18" w:rsidRDefault="00DA598F" w:rsidP="00DA598F">
                            <w:pPr>
                              <w:rPr>
                                <w:rFonts w:ascii="Times New Roman" w:hAnsi="Times New Roman" w:cs="Times New Roman"/>
                                <w:i/>
                                <w:lang w:eastAsia="x-none"/>
                              </w:rPr>
                            </w:pPr>
                            <w:r w:rsidRPr="00735D18">
                              <w:rPr>
                                <w:rFonts w:ascii="Times New Roman" w:hAnsi="Times New Roman" w:cs="Times New Roman"/>
                                <w:b/>
                                <w:i/>
                                <w:lang w:eastAsia="x-none"/>
                              </w:rPr>
                              <w:t>RAN1#97</w:t>
                            </w:r>
                          </w:p>
                          <w:p w14:paraId="48A07079" w14:textId="77777777" w:rsidR="00DA598F" w:rsidRPr="00735D18" w:rsidRDefault="00DA598F" w:rsidP="00DA598F">
                            <w:pPr>
                              <w:rPr>
                                <w:rFonts w:ascii="Times New Roman" w:hAnsi="Times New Roman" w:cs="Times New Roman"/>
                              </w:rPr>
                            </w:pPr>
                            <w:r w:rsidRPr="00735D18">
                              <w:rPr>
                                <w:rFonts w:ascii="Times New Roman" w:hAnsi="Times New Roman" w:cs="Times New Roman"/>
                                <w:highlight w:val="green"/>
                              </w:rPr>
                              <w:t>Agreement:</w:t>
                            </w:r>
                          </w:p>
                          <w:p w14:paraId="4E07B22A" w14:textId="77777777" w:rsidR="00DA598F" w:rsidRPr="00735D18" w:rsidRDefault="00DA598F" w:rsidP="00DA598F">
                            <w:pPr>
                              <w:rPr>
                                <w:rFonts w:ascii="Times New Roman" w:hAnsi="Times New Roman" w:cs="Times New Roman"/>
                              </w:rPr>
                            </w:pPr>
                            <w:r w:rsidRPr="00735D18">
                              <w:rPr>
                                <w:rFonts w:ascii="Times New Roman" w:hAnsi="Times New Roman" w:cs="Times New Roman"/>
                              </w:rPr>
                              <w:t xml:space="preserve">Network disabling of HARQ via RRC configuration should be supported. </w:t>
                            </w:r>
                          </w:p>
                          <w:p w14:paraId="184AD7CB" w14:textId="77777777" w:rsidR="00DA598F" w:rsidRPr="00735D18" w:rsidRDefault="00DA598F" w:rsidP="00DA598F">
                            <w:pPr>
                              <w:numPr>
                                <w:ilvl w:val="0"/>
                                <w:numId w:val="25"/>
                              </w:numPr>
                              <w:spacing w:after="0" w:line="240" w:lineRule="auto"/>
                              <w:rPr>
                                <w:rFonts w:ascii="Times New Roman" w:hAnsi="Times New Roman" w:cs="Times New Roman"/>
                              </w:rPr>
                            </w:pPr>
                            <w:r w:rsidRPr="00735D18">
                              <w:rPr>
                                <w:rFonts w:ascii="Times New Roman" w:hAnsi="Times New Roman" w:cs="Times New Roman"/>
                              </w:rPr>
                              <w:t>FFS: Dynamic disabling of HARQ by gNB.</w:t>
                            </w:r>
                          </w:p>
                          <w:p w14:paraId="0A4534C1" w14:textId="77777777" w:rsidR="00DA598F" w:rsidRPr="00735D18" w:rsidRDefault="00DA598F" w:rsidP="00DA598F">
                            <w:pPr>
                              <w:spacing w:after="0" w:line="240" w:lineRule="auto"/>
                              <w:ind w:left="720"/>
                              <w:rPr>
                                <w:rFonts w:ascii="Times New Roman" w:hAnsi="Times New Roman" w:cs="Times New Roman"/>
                              </w:rPr>
                            </w:pPr>
                          </w:p>
                          <w:p w14:paraId="1C0597D2" w14:textId="77777777" w:rsidR="00DA598F" w:rsidRPr="00735D18" w:rsidRDefault="00DA598F" w:rsidP="00DA598F">
                            <w:pPr>
                              <w:rPr>
                                <w:rFonts w:ascii="Times New Roman" w:hAnsi="Times New Roman" w:cs="Times New Roman"/>
                              </w:rPr>
                            </w:pPr>
                            <w:r w:rsidRPr="00735D18">
                              <w:rPr>
                                <w:rFonts w:ascii="Times New Roman" w:hAnsi="Times New Roman" w:cs="Times New Roman"/>
                                <w:highlight w:val="green"/>
                              </w:rPr>
                              <w:t>Agreement:</w:t>
                            </w:r>
                          </w:p>
                          <w:p w14:paraId="1D9E269D" w14:textId="77777777" w:rsidR="00DA598F" w:rsidRPr="00735D18" w:rsidRDefault="00DA598F" w:rsidP="00DA598F">
                            <w:pPr>
                              <w:rPr>
                                <w:rFonts w:ascii="Times New Roman" w:hAnsi="Times New Roman" w:cs="Times New Roman"/>
                              </w:rPr>
                            </w:pPr>
                            <w:r w:rsidRPr="00735D18">
                              <w:rPr>
                                <w:rFonts w:ascii="Times New Roman" w:hAnsi="Times New Roman" w:cs="Times New Roman"/>
                              </w:rPr>
                              <w:t>Evaluate impact of Satellite RTT when HARQ is enabled and potential solutions if needed.</w:t>
                            </w:r>
                          </w:p>
                          <w:p w14:paraId="573C07E9" w14:textId="77777777" w:rsidR="00DA598F" w:rsidRPr="00735D18" w:rsidRDefault="00DA598F" w:rsidP="00DA598F">
                            <w:pPr>
                              <w:numPr>
                                <w:ilvl w:val="0"/>
                                <w:numId w:val="25"/>
                              </w:numPr>
                              <w:spacing w:after="0" w:line="240" w:lineRule="auto"/>
                              <w:rPr>
                                <w:rFonts w:ascii="Times New Roman" w:hAnsi="Times New Roman" w:cs="Times New Roman"/>
                              </w:rPr>
                            </w:pPr>
                            <w:r w:rsidRPr="00735D18">
                              <w:rPr>
                                <w:rFonts w:ascii="Times New Roman" w:hAnsi="Times New Roman" w:cs="Times New Roman"/>
                              </w:rPr>
                              <w:t>At least the following aspects should be considered if the number of HARQ processes is &gt; 16:</w:t>
                            </w:r>
                          </w:p>
                          <w:p w14:paraId="35085C4C" w14:textId="77777777" w:rsidR="00DA598F" w:rsidRPr="00DA598F" w:rsidRDefault="00DA598F" w:rsidP="00DA598F">
                            <w:pPr>
                              <w:numPr>
                                <w:ilvl w:val="1"/>
                                <w:numId w:val="25"/>
                              </w:numPr>
                              <w:spacing w:after="0" w:line="240" w:lineRule="auto"/>
                              <w:rPr>
                                <w:rFonts w:ascii="Times New Roman" w:hAnsi="Times New Roman" w:cs="Times New Roman"/>
                              </w:rPr>
                            </w:pPr>
                            <w:r w:rsidRPr="00DA598F">
                              <w:rPr>
                                <w:rFonts w:ascii="Times New Roman" w:hAnsi="Times New Roman" w:cs="Times New Roman"/>
                              </w:rPr>
                              <w:t>DCI size</w:t>
                            </w:r>
                          </w:p>
                          <w:p w14:paraId="1CC9A39B" w14:textId="77777777" w:rsidR="00DA598F" w:rsidRPr="00DA598F" w:rsidRDefault="00DA598F" w:rsidP="00DA598F">
                            <w:pPr>
                              <w:numPr>
                                <w:ilvl w:val="1"/>
                                <w:numId w:val="25"/>
                              </w:numPr>
                              <w:spacing w:after="0" w:line="240" w:lineRule="auto"/>
                              <w:rPr>
                                <w:rFonts w:ascii="Times New Roman" w:hAnsi="Times New Roman" w:cs="Times New Roman"/>
                              </w:rPr>
                            </w:pPr>
                            <w:r w:rsidRPr="00DA598F">
                              <w:rPr>
                                <w:rFonts w:ascii="Times New Roman" w:hAnsi="Times New Roman" w:cs="Times New Roman"/>
                              </w:rPr>
                              <w:t>HARQ soft buffer size</w:t>
                            </w:r>
                          </w:p>
                          <w:p w14:paraId="7E963C88" w14:textId="77777777" w:rsidR="00DA598F" w:rsidRPr="00DA598F" w:rsidRDefault="00DA598F" w:rsidP="00DA598F">
                            <w:pPr>
                              <w:rPr>
                                <w:rFonts w:ascii="Times New Roman" w:hAnsi="Times New Roman" w:cs="Times New Roman"/>
                                <w:i/>
                                <w:lang w:eastAsia="x-none"/>
                              </w:rPr>
                            </w:pPr>
                          </w:p>
                          <w:p w14:paraId="649D3BB1" w14:textId="77777777" w:rsidR="00DA598F" w:rsidRPr="00DA598F" w:rsidRDefault="00DA598F" w:rsidP="00DA598F">
                            <w:pP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AC64FCE" id="_x0000_t202" coordsize="21600,21600" o:spt="202" path="m,l,21600r21600,l21600,xe">
                <v:stroke joinstyle="miter"/>
                <v:path gradientshapeok="t" o:connecttype="rect"/>
              </v:shapetype>
              <v:shape id="Text Box 1" o:spid="_x0000_s1026" type="#_x0000_t202" style="width:481.95pt;height:18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" fillcolor="white [3201]" strokeweight=".5pt">
                <v:textbox>
                  <w:txbxContent>
                    <w:p w14:paraId="17739825" w14:textId="77777777" w:rsidR="00DA598F" w:rsidRPr="00735D18" w:rsidRDefault="00DA598F" w:rsidP="00DA598F">
                      <w:pPr>
                        <w:rPr>
                          <w:rFonts w:ascii="Times New Roman" w:hAnsi="Times New Roman" w:cs="Times New Roman"/>
                          <w:i/>
                          <w:lang w:eastAsia="x-none"/>
                        </w:rPr>
                      </w:pPr>
                      <w:r w:rsidRPr="00735D18">
                        <w:rPr>
                          <w:rFonts w:ascii="Times New Roman" w:hAnsi="Times New Roman" w:cs="Times New Roman"/>
                          <w:b/>
                          <w:i/>
                          <w:lang w:eastAsia="x-none"/>
                        </w:rPr>
                        <w:t>RAN1#97</w:t>
                      </w:r>
                    </w:p>
                    <w:p w14:paraId="48A07079" w14:textId="77777777" w:rsidR="00DA598F" w:rsidRPr="00735D18" w:rsidRDefault="00DA598F" w:rsidP="00DA598F">
                      <w:pPr>
                        <w:rPr>
                          <w:rFonts w:ascii="Times New Roman" w:hAnsi="Times New Roman" w:cs="Times New Roman"/>
                        </w:rPr>
                      </w:pPr>
                      <w:r w:rsidRPr="00735D18">
                        <w:rPr>
                          <w:rFonts w:ascii="Times New Roman" w:hAnsi="Times New Roman" w:cs="Times New Roman"/>
                          <w:highlight w:val="green"/>
                        </w:rPr>
                        <w:t>Agreement:</w:t>
                      </w:r>
                    </w:p>
                    <w:p w14:paraId="4E07B22A" w14:textId="77777777" w:rsidR="00DA598F" w:rsidRPr="00735D18" w:rsidRDefault="00DA598F" w:rsidP="00DA598F">
                      <w:pPr>
                        <w:rPr>
                          <w:rFonts w:ascii="Times New Roman" w:hAnsi="Times New Roman" w:cs="Times New Roman"/>
                        </w:rPr>
                      </w:pPr>
                      <w:r w:rsidRPr="00735D18">
                        <w:rPr>
                          <w:rFonts w:ascii="Times New Roman" w:hAnsi="Times New Roman" w:cs="Times New Roman"/>
                        </w:rPr>
                        <w:t xml:space="preserve">Network disabling of HARQ via RRC configuration should be supported. </w:t>
                      </w:r>
                    </w:p>
                    <w:p w14:paraId="184AD7CB" w14:textId="77777777" w:rsidR="00DA598F" w:rsidRPr="00735D18" w:rsidRDefault="00DA598F" w:rsidP="00DA598F">
                      <w:pPr>
                        <w:numPr>
                          <w:ilvl w:val="0"/>
                          <w:numId w:val="25"/>
                        </w:numPr>
                        <w:spacing w:after="0" w:line="240" w:lineRule="auto"/>
                        <w:rPr>
                          <w:rFonts w:ascii="Times New Roman" w:hAnsi="Times New Roman" w:cs="Times New Roman"/>
                        </w:rPr>
                      </w:pPr>
                      <w:r w:rsidRPr="00735D18">
                        <w:rPr>
                          <w:rFonts w:ascii="Times New Roman" w:hAnsi="Times New Roman" w:cs="Times New Roman"/>
                        </w:rPr>
                        <w:t>FFS: Dynamic disabling of HARQ by gNB.</w:t>
                      </w:r>
                    </w:p>
                    <w:p w14:paraId="0A4534C1" w14:textId="77777777" w:rsidR="00DA598F" w:rsidRPr="00735D18" w:rsidRDefault="00DA598F" w:rsidP="00DA598F">
                      <w:pPr>
                        <w:spacing w:after="0" w:line="240" w:lineRule="auto"/>
                        <w:ind w:left="720"/>
                        <w:rPr>
                          <w:rFonts w:ascii="Times New Roman" w:hAnsi="Times New Roman" w:cs="Times New Roman"/>
                        </w:rPr>
                      </w:pPr>
                    </w:p>
                    <w:p w14:paraId="1C0597D2" w14:textId="77777777" w:rsidR="00DA598F" w:rsidRPr="00735D18" w:rsidRDefault="00DA598F" w:rsidP="00DA598F">
                      <w:pPr>
                        <w:rPr>
                          <w:rFonts w:ascii="Times New Roman" w:hAnsi="Times New Roman" w:cs="Times New Roman"/>
                        </w:rPr>
                      </w:pPr>
                      <w:r w:rsidRPr="00735D18">
                        <w:rPr>
                          <w:rFonts w:ascii="Times New Roman" w:hAnsi="Times New Roman" w:cs="Times New Roman"/>
                          <w:highlight w:val="green"/>
                        </w:rPr>
                        <w:t>Agreement:</w:t>
                      </w:r>
                    </w:p>
                    <w:p w14:paraId="1D9E269D" w14:textId="77777777" w:rsidR="00DA598F" w:rsidRPr="00735D18" w:rsidRDefault="00DA598F" w:rsidP="00DA598F">
                      <w:pPr>
                        <w:rPr>
                          <w:rFonts w:ascii="Times New Roman" w:hAnsi="Times New Roman" w:cs="Times New Roman"/>
                        </w:rPr>
                      </w:pPr>
                      <w:r w:rsidRPr="00735D18">
                        <w:rPr>
                          <w:rFonts w:ascii="Times New Roman" w:hAnsi="Times New Roman" w:cs="Times New Roman"/>
                        </w:rPr>
                        <w:t>Evaluate impact of Satellite RTT when HARQ is enabled and potential solutions if needed.</w:t>
                      </w:r>
                    </w:p>
                    <w:p w14:paraId="573C07E9" w14:textId="77777777" w:rsidR="00DA598F" w:rsidRPr="00735D18" w:rsidRDefault="00DA598F" w:rsidP="00DA598F">
                      <w:pPr>
                        <w:numPr>
                          <w:ilvl w:val="0"/>
                          <w:numId w:val="25"/>
                        </w:numPr>
                        <w:spacing w:after="0" w:line="240" w:lineRule="auto"/>
                        <w:rPr>
                          <w:rFonts w:ascii="Times New Roman" w:hAnsi="Times New Roman" w:cs="Times New Roman"/>
                        </w:rPr>
                      </w:pPr>
                      <w:r w:rsidRPr="00735D18">
                        <w:rPr>
                          <w:rFonts w:ascii="Times New Roman" w:hAnsi="Times New Roman" w:cs="Times New Roman"/>
                        </w:rPr>
                        <w:t>At least the following aspects should be considered if the number of HARQ processes is &gt; 16:</w:t>
                      </w:r>
                    </w:p>
                    <w:p w14:paraId="35085C4C" w14:textId="77777777" w:rsidR="00DA598F" w:rsidRPr="00DA598F" w:rsidRDefault="00DA598F" w:rsidP="00DA598F">
                      <w:pPr>
                        <w:numPr>
                          <w:ilvl w:val="1"/>
                          <w:numId w:val="25"/>
                        </w:numPr>
                        <w:spacing w:after="0" w:line="240" w:lineRule="auto"/>
                        <w:rPr>
                          <w:rFonts w:ascii="Times New Roman" w:hAnsi="Times New Roman" w:cs="Times New Roman"/>
                        </w:rPr>
                      </w:pPr>
                      <w:r w:rsidRPr="00DA598F">
                        <w:rPr>
                          <w:rFonts w:ascii="Times New Roman" w:hAnsi="Times New Roman" w:cs="Times New Roman"/>
                        </w:rPr>
                        <w:t>DCI size</w:t>
                      </w:r>
                    </w:p>
                    <w:p w14:paraId="1CC9A39B" w14:textId="77777777" w:rsidR="00DA598F" w:rsidRPr="00DA598F" w:rsidRDefault="00DA598F" w:rsidP="00DA598F">
                      <w:pPr>
                        <w:numPr>
                          <w:ilvl w:val="1"/>
                          <w:numId w:val="25"/>
                        </w:numPr>
                        <w:spacing w:after="0" w:line="240" w:lineRule="auto"/>
                        <w:rPr>
                          <w:rFonts w:ascii="Times New Roman" w:hAnsi="Times New Roman" w:cs="Times New Roman"/>
                        </w:rPr>
                      </w:pPr>
                      <w:r w:rsidRPr="00DA598F">
                        <w:rPr>
                          <w:rFonts w:ascii="Times New Roman" w:hAnsi="Times New Roman" w:cs="Times New Roman"/>
                        </w:rPr>
                        <w:t>HARQ soft buffer size</w:t>
                      </w:r>
                    </w:p>
                    <w:p w14:paraId="7E963C88" w14:textId="77777777" w:rsidR="00DA598F" w:rsidRPr="00DA598F" w:rsidRDefault="00DA598F" w:rsidP="00DA598F">
                      <w:pPr>
                        <w:rPr>
                          <w:rFonts w:ascii="Times New Roman" w:hAnsi="Times New Roman" w:cs="Times New Roman"/>
                          <w:i/>
                          <w:lang w:eastAsia="x-none"/>
                        </w:rPr>
                      </w:pPr>
                    </w:p>
                    <w:p w14:paraId="649D3BB1" w14:textId="77777777" w:rsidR="00DA598F" w:rsidRPr="00DA598F" w:rsidRDefault="00DA598F" w:rsidP="00DA598F">
                      <w:pPr>
                        <w:rPr>
                          <w:rFonts w:ascii="Times New Roman" w:hAnsi="Times New Roman" w:cs="Times New Roman"/>
                        </w:rPr>
                      </w:pPr>
                    </w:p>
                  </w:txbxContent>
                </v:textbox>
                <w10:anchorlock/>
              </v:shape>
            </w:pict>
          </mc:Fallback>
        </mc:AlternateContent>
      </w:r>
    </w:p>
    <w:p w14:paraId="02C2EA9C" w14:textId="5DA27651" w:rsidR="00DA598F" w:rsidRPr="005F78B5" w:rsidRDefault="00DA598F" w:rsidP="00DA598F">
      <w:pPr>
        <w:pStyle w:val="Reference"/>
        <w:numPr>
          <w:ilvl w:val="0"/>
          <w:numId w:val="0"/>
        </w:numPr>
        <w:ind w:left="567" w:hanging="567"/>
      </w:pPr>
      <w:r>
        <w:rPr>
          <w:noProof/>
        </w:rPr>
        <mc:AlternateContent>
          <mc:Choice Requires="wps">
            <w:drawing>
              <wp:inline distT="0" distB="0" distL="0" distR="0" wp14:anchorId="3CA1DDF6" wp14:editId="433C2F46">
                <wp:extent cx="6120765" cy="1530928"/>
                <wp:effectExtent l="0" t="0" r="13335" b="12700"/>
                <wp:docPr id="3" name="Text Box 3"/>
                <wp:cNvGraphicFramePr/>
                <a:graphic xmlns:a="http://schemas.openxmlformats.org/drawingml/2006/main">
                  <a:graphicData uri="http://schemas.microsoft.com/office/word/2010/wordprocessingShape">
                    <wps:wsp>
                      <wps:cNvSpPr txBox="1"/>
                      <wps:spPr>
                        <a:xfrm>
                          <a:off x="0" y="0"/>
                          <a:ext cx="6120765" cy="1530928"/>
                        </a:xfrm>
                        <a:prstGeom prst="rect">
                          <a:avLst/>
                        </a:prstGeom>
                        <a:solidFill>
                          <a:schemeClr val="lt1"/>
                        </a:solidFill>
                        <a:ln w="6350">
                          <a:solidFill>
                            <a:prstClr val="black"/>
                          </a:solidFill>
                        </a:ln>
                      </wps:spPr>
                      <wps:txbx>
                        <w:txbxContent>
                          <w:p w14:paraId="661169E8" w14:textId="048B5AEB" w:rsidR="00DA598F" w:rsidRPr="00735D18" w:rsidRDefault="00DA598F" w:rsidP="00DA598F">
                            <w:pPr>
                              <w:rPr>
                                <w:rFonts w:ascii="Times New Roman" w:hAnsi="Times New Roman" w:cs="Times New Roman"/>
                                <w:i/>
                                <w:lang w:eastAsia="x-none"/>
                              </w:rPr>
                            </w:pPr>
                            <w:r w:rsidRPr="00735D18">
                              <w:rPr>
                                <w:rFonts w:ascii="Times New Roman" w:hAnsi="Times New Roman" w:cs="Times New Roman"/>
                                <w:b/>
                                <w:i/>
                                <w:lang w:eastAsia="x-none"/>
                              </w:rPr>
                              <w:t>RAN1#98</w:t>
                            </w:r>
                          </w:p>
                          <w:p w14:paraId="3BE4F03D" w14:textId="77777777" w:rsidR="00311FD1" w:rsidRPr="00735D18" w:rsidRDefault="00311FD1" w:rsidP="00311FD1">
                            <w:pPr>
                              <w:rPr>
                                <w:rFonts w:ascii="Times New Roman" w:hAnsi="Times New Roman" w:cs="Times New Roman"/>
                                <w:u w:val="single"/>
                                <w:lang w:eastAsia="x-none"/>
                              </w:rPr>
                            </w:pPr>
                            <w:r w:rsidRPr="00735D18">
                              <w:rPr>
                                <w:rFonts w:ascii="Times New Roman" w:hAnsi="Times New Roman" w:cs="Times New Roman"/>
                                <w:u w:val="single"/>
                                <w:lang w:eastAsia="x-none"/>
                              </w:rPr>
                              <w:t>Conclusion:</w:t>
                            </w:r>
                          </w:p>
                          <w:p w14:paraId="58E11E1D" w14:textId="77777777" w:rsidR="00311FD1" w:rsidRPr="00735D18" w:rsidRDefault="00311FD1" w:rsidP="00311FD1">
                            <w:pPr>
                              <w:rPr>
                                <w:rFonts w:ascii="Times New Roman" w:hAnsi="Times New Roman" w:cs="Times New Roman"/>
                                <w:lang w:eastAsia="x-none"/>
                              </w:rPr>
                            </w:pPr>
                            <w:r w:rsidRPr="00735D18">
                              <w:rPr>
                                <w:rFonts w:ascii="Times New Roman" w:hAnsi="Times New Roman" w:cs="Times New Roman"/>
                                <w:lang w:eastAsia="x-none"/>
                              </w:rPr>
                              <w:t>RAN1 does not need to further discuss dynamic disabling of HARQ by gNB following the RAN2#107 decision stating the following</w:t>
                            </w:r>
                          </w:p>
                          <w:p w14:paraId="4F4D2317" w14:textId="77777777" w:rsidR="00311FD1" w:rsidRPr="00735D18" w:rsidRDefault="00311FD1" w:rsidP="00311FD1">
                            <w:pPr>
                              <w:numPr>
                                <w:ilvl w:val="0"/>
                                <w:numId w:val="26"/>
                              </w:numPr>
                              <w:spacing w:after="0" w:line="240" w:lineRule="auto"/>
                              <w:rPr>
                                <w:rFonts w:ascii="Times New Roman" w:hAnsi="Times New Roman" w:cs="Times New Roman"/>
                                <w:lang w:eastAsia="x-none"/>
                              </w:rPr>
                            </w:pPr>
                            <w:r w:rsidRPr="00735D18">
                              <w:rPr>
                                <w:rFonts w:ascii="Times New Roman" w:hAnsi="Times New Roman" w:cs="Times New Roman"/>
                                <w:lang w:eastAsia="x-none"/>
                              </w:rPr>
                              <w:t>The enabling / disabling of HARQ feedback should be configurable on a per UE and per HARQ process basis</w:t>
                            </w:r>
                          </w:p>
                          <w:p w14:paraId="737DF5B5" w14:textId="77777777" w:rsidR="00DA598F" w:rsidRPr="00735D18" w:rsidRDefault="00DA598F" w:rsidP="00DA598F">
                            <w:pPr>
                              <w:rPr>
                                <w:rFonts w:ascii="Times New Roman" w:hAnsi="Times New Roman" w:cs="Times New Roman"/>
                                <w:i/>
                                <w:lang w:eastAsia="x-none"/>
                              </w:rPr>
                            </w:pPr>
                          </w:p>
                          <w:p w14:paraId="42480DA0" w14:textId="77777777" w:rsidR="00DA598F" w:rsidRPr="00735D18" w:rsidRDefault="00DA598F" w:rsidP="00DA598F">
                            <w:pP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CA1DDF6" id="Text Box 3" o:spid="_x0000_s1027" type="#_x0000_t202" style="width:481.95pt;height:12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" fillcolor="white [3201]" strokeweight=".5pt">
                <v:textbox>
                  <w:txbxContent>
                    <w:p w14:paraId="661169E8" w14:textId="048B5AEB" w:rsidR="00DA598F" w:rsidRPr="00735D18" w:rsidRDefault="00DA598F" w:rsidP="00DA598F">
                      <w:pPr>
                        <w:rPr>
                          <w:rFonts w:ascii="Times New Roman" w:hAnsi="Times New Roman" w:cs="Times New Roman"/>
                          <w:i/>
                          <w:lang w:eastAsia="x-none"/>
                        </w:rPr>
                      </w:pPr>
                      <w:r w:rsidRPr="00735D18">
                        <w:rPr>
                          <w:rFonts w:ascii="Times New Roman" w:hAnsi="Times New Roman" w:cs="Times New Roman"/>
                          <w:b/>
                          <w:i/>
                          <w:lang w:eastAsia="x-none"/>
                        </w:rPr>
                        <w:t>RAN1#98</w:t>
                      </w:r>
                    </w:p>
                    <w:p w14:paraId="3BE4F03D" w14:textId="77777777" w:rsidR="00311FD1" w:rsidRPr="00735D18" w:rsidRDefault="00311FD1" w:rsidP="00311FD1">
                      <w:pPr>
                        <w:rPr>
                          <w:rFonts w:ascii="Times New Roman" w:hAnsi="Times New Roman" w:cs="Times New Roman"/>
                          <w:u w:val="single"/>
                          <w:lang w:eastAsia="x-none"/>
                        </w:rPr>
                      </w:pPr>
                      <w:r w:rsidRPr="00735D18">
                        <w:rPr>
                          <w:rFonts w:ascii="Times New Roman" w:hAnsi="Times New Roman" w:cs="Times New Roman"/>
                          <w:u w:val="single"/>
                          <w:lang w:eastAsia="x-none"/>
                        </w:rPr>
                        <w:t>Conclusion:</w:t>
                      </w:r>
                    </w:p>
                    <w:p w14:paraId="58E11E1D" w14:textId="77777777" w:rsidR="00311FD1" w:rsidRPr="00735D18" w:rsidRDefault="00311FD1" w:rsidP="00311FD1">
                      <w:pPr>
                        <w:rPr>
                          <w:rFonts w:ascii="Times New Roman" w:hAnsi="Times New Roman" w:cs="Times New Roman"/>
                          <w:lang w:eastAsia="x-none"/>
                        </w:rPr>
                      </w:pPr>
                      <w:r w:rsidRPr="00735D18">
                        <w:rPr>
                          <w:rFonts w:ascii="Times New Roman" w:hAnsi="Times New Roman" w:cs="Times New Roman"/>
                          <w:lang w:eastAsia="x-none"/>
                        </w:rPr>
                        <w:t>RAN1 does not need to further discuss dynamic disabling of HARQ by gNB following the RAN2#107 decision stating the following</w:t>
                      </w:r>
                    </w:p>
                    <w:p w14:paraId="4F4D2317" w14:textId="77777777" w:rsidR="00311FD1" w:rsidRPr="00735D18" w:rsidRDefault="00311FD1" w:rsidP="00311FD1">
                      <w:pPr>
                        <w:numPr>
                          <w:ilvl w:val="0"/>
                          <w:numId w:val="26"/>
                        </w:numPr>
                        <w:spacing w:after="0" w:line="240" w:lineRule="auto"/>
                        <w:rPr>
                          <w:rFonts w:ascii="Times New Roman" w:hAnsi="Times New Roman" w:cs="Times New Roman"/>
                          <w:lang w:eastAsia="x-none"/>
                        </w:rPr>
                      </w:pPr>
                      <w:r w:rsidRPr="00735D18">
                        <w:rPr>
                          <w:rFonts w:ascii="Times New Roman" w:hAnsi="Times New Roman" w:cs="Times New Roman"/>
                          <w:lang w:eastAsia="x-none"/>
                        </w:rPr>
                        <w:t>The enabling / disabling of HARQ feedback should be configurable on a per UE and per HARQ process basis</w:t>
                      </w:r>
                    </w:p>
                    <w:p w14:paraId="737DF5B5" w14:textId="77777777" w:rsidR="00DA598F" w:rsidRPr="00735D18" w:rsidRDefault="00DA598F" w:rsidP="00DA598F">
                      <w:pPr>
                        <w:rPr>
                          <w:rFonts w:ascii="Times New Roman" w:hAnsi="Times New Roman" w:cs="Times New Roman"/>
                          <w:i/>
                          <w:lang w:eastAsia="x-none"/>
                        </w:rPr>
                      </w:pPr>
                    </w:p>
                    <w:p w14:paraId="42480DA0" w14:textId="77777777" w:rsidR="00DA598F" w:rsidRPr="00735D18" w:rsidRDefault="00DA598F" w:rsidP="00DA598F">
                      <w:pPr>
                        <w:rPr>
                          <w:rFonts w:ascii="Times New Roman" w:hAnsi="Times New Roman" w:cs="Times New Roman"/>
                        </w:rPr>
                      </w:pPr>
                    </w:p>
                  </w:txbxContent>
                </v:textbox>
                <w10:anchorlock/>
              </v:shape>
            </w:pict>
          </mc:Fallback>
        </mc:AlternateContent>
      </w:r>
    </w:p>
    <w:sectPr w:rsidR="00DA598F" w:rsidRPr="005F78B5"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71FC1" w14:textId="77777777" w:rsidR="009458EC" w:rsidRDefault="009458EC">
      <w:r>
        <w:separator/>
      </w:r>
    </w:p>
  </w:endnote>
  <w:endnote w:type="continuationSeparator" w:id="0">
    <w:p w14:paraId="429D8998" w14:textId="77777777" w:rsidR="009458EC" w:rsidRDefault="009458EC">
      <w:r>
        <w:continuationSeparator/>
      </w:r>
    </w:p>
  </w:endnote>
  <w:endnote w:type="continuationNotice" w:id="1">
    <w:p w14:paraId="12A82B8A" w14:textId="77777777" w:rsidR="009458EC" w:rsidRDefault="009458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73718" w14:textId="77777777" w:rsidR="009458EC" w:rsidRDefault="009458EC">
      <w:r>
        <w:separator/>
      </w:r>
    </w:p>
  </w:footnote>
  <w:footnote w:type="continuationSeparator" w:id="0">
    <w:p w14:paraId="22A92741" w14:textId="77777777" w:rsidR="009458EC" w:rsidRDefault="009458EC">
      <w:r>
        <w:continuationSeparator/>
      </w:r>
    </w:p>
  </w:footnote>
  <w:footnote w:type="continuationNotice" w:id="1">
    <w:p w14:paraId="7A585BD9" w14:textId="77777777" w:rsidR="009458EC" w:rsidRDefault="009458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4C7C82"/>
    <w:multiLevelType w:val="hybridMultilevel"/>
    <w:tmpl w:val="9D46F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5653FB"/>
    <w:multiLevelType w:val="hybridMultilevel"/>
    <w:tmpl w:val="F0323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1A2646"/>
    <w:multiLevelType w:val="hybridMultilevel"/>
    <w:tmpl w:val="F38E0E80"/>
    <w:lvl w:ilvl="0" w:tplc="AC6C41B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BA0A77"/>
    <w:multiLevelType w:val="hybridMultilevel"/>
    <w:tmpl w:val="40F8B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441B27"/>
    <w:multiLevelType w:val="hybridMultilevel"/>
    <w:tmpl w:val="9A227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D36AC"/>
    <w:multiLevelType w:val="hybridMultilevel"/>
    <w:tmpl w:val="27FEB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0802B2"/>
    <w:multiLevelType w:val="hybridMultilevel"/>
    <w:tmpl w:val="0AD29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513DBA"/>
    <w:multiLevelType w:val="hybridMultilevel"/>
    <w:tmpl w:val="987A2204"/>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082FAC"/>
    <w:multiLevelType w:val="hybridMultilevel"/>
    <w:tmpl w:val="066229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BD160DC"/>
    <w:multiLevelType w:val="hybridMultilevel"/>
    <w:tmpl w:val="3E080F80"/>
    <w:lvl w:ilvl="0" w:tplc="F62E0124">
      <w:start w:val="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450A93"/>
    <w:multiLevelType w:val="hybridMultilevel"/>
    <w:tmpl w:val="BFEE93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6109D3"/>
    <w:multiLevelType w:val="hybridMultilevel"/>
    <w:tmpl w:val="3F52BF70"/>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2C3856"/>
    <w:multiLevelType w:val="hybridMultilevel"/>
    <w:tmpl w:val="185614FE"/>
    <w:lvl w:ilvl="0" w:tplc="D076C30A">
      <w:start w:val="1"/>
      <w:numFmt w:val="bullet"/>
      <w:lvlText w:val="•"/>
      <w:lvlJc w:val="left"/>
      <w:pPr>
        <w:tabs>
          <w:tab w:val="num" w:pos="720"/>
        </w:tabs>
        <w:ind w:left="720" w:hanging="360"/>
      </w:pPr>
      <w:rPr>
        <w:rFonts w:ascii="Arial" w:hAnsi="Arial" w:hint="default"/>
      </w:rPr>
    </w:lvl>
    <w:lvl w:ilvl="1" w:tplc="FC2A75B0">
      <w:start w:val="1"/>
      <w:numFmt w:val="bullet"/>
      <w:lvlText w:val="•"/>
      <w:lvlJc w:val="left"/>
      <w:pPr>
        <w:tabs>
          <w:tab w:val="num" w:pos="1440"/>
        </w:tabs>
        <w:ind w:left="1440" w:hanging="360"/>
      </w:pPr>
      <w:rPr>
        <w:rFonts w:ascii="Arial" w:hAnsi="Arial" w:hint="default"/>
      </w:rPr>
    </w:lvl>
    <w:lvl w:ilvl="2" w:tplc="4880ADDE" w:tentative="1">
      <w:start w:val="1"/>
      <w:numFmt w:val="bullet"/>
      <w:lvlText w:val="•"/>
      <w:lvlJc w:val="left"/>
      <w:pPr>
        <w:tabs>
          <w:tab w:val="num" w:pos="2160"/>
        </w:tabs>
        <w:ind w:left="2160" w:hanging="360"/>
      </w:pPr>
      <w:rPr>
        <w:rFonts w:ascii="Arial" w:hAnsi="Arial" w:hint="default"/>
      </w:rPr>
    </w:lvl>
    <w:lvl w:ilvl="3" w:tplc="CD9439A0" w:tentative="1">
      <w:start w:val="1"/>
      <w:numFmt w:val="bullet"/>
      <w:lvlText w:val="•"/>
      <w:lvlJc w:val="left"/>
      <w:pPr>
        <w:tabs>
          <w:tab w:val="num" w:pos="2880"/>
        </w:tabs>
        <w:ind w:left="2880" w:hanging="360"/>
      </w:pPr>
      <w:rPr>
        <w:rFonts w:ascii="Arial" w:hAnsi="Arial" w:hint="default"/>
      </w:rPr>
    </w:lvl>
    <w:lvl w:ilvl="4" w:tplc="3A04FB7C" w:tentative="1">
      <w:start w:val="1"/>
      <w:numFmt w:val="bullet"/>
      <w:lvlText w:val="•"/>
      <w:lvlJc w:val="left"/>
      <w:pPr>
        <w:tabs>
          <w:tab w:val="num" w:pos="3600"/>
        </w:tabs>
        <w:ind w:left="3600" w:hanging="360"/>
      </w:pPr>
      <w:rPr>
        <w:rFonts w:ascii="Arial" w:hAnsi="Arial" w:hint="default"/>
      </w:rPr>
    </w:lvl>
    <w:lvl w:ilvl="5" w:tplc="5E0EBB24" w:tentative="1">
      <w:start w:val="1"/>
      <w:numFmt w:val="bullet"/>
      <w:lvlText w:val="•"/>
      <w:lvlJc w:val="left"/>
      <w:pPr>
        <w:tabs>
          <w:tab w:val="num" w:pos="4320"/>
        </w:tabs>
        <w:ind w:left="4320" w:hanging="360"/>
      </w:pPr>
      <w:rPr>
        <w:rFonts w:ascii="Arial" w:hAnsi="Arial" w:hint="default"/>
      </w:rPr>
    </w:lvl>
    <w:lvl w:ilvl="6" w:tplc="EAF0ABE2" w:tentative="1">
      <w:start w:val="1"/>
      <w:numFmt w:val="bullet"/>
      <w:lvlText w:val="•"/>
      <w:lvlJc w:val="left"/>
      <w:pPr>
        <w:tabs>
          <w:tab w:val="num" w:pos="5040"/>
        </w:tabs>
        <w:ind w:left="5040" w:hanging="360"/>
      </w:pPr>
      <w:rPr>
        <w:rFonts w:ascii="Arial" w:hAnsi="Arial" w:hint="default"/>
      </w:rPr>
    </w:lvl>
    <w:lvl w:ilvl="7" w:tplc="6B70118E" w:tentative="1">
      <w:start w:val="1"/>
      <w:numFmt w:val="bullet"/>
      <w:lvlText w:val="•"/>
      <w:lvlJc w:val="left"/>
      <w:pPr>
        <w:tabs>
          <w:tab w:val="num" w:pos="5760"/>
        </w:tabs>
        <w:ind w:left="5760" w:hanging="360"/>
      </w:pPr>
      <w:rPr>
        <w:rFonts w:ascii="Arial" w:hAnsi="Arial" w:hint="default"/>
      </w:rPr>
    </w:lvl>
    <w:lvl w:ilvl="8" w:tplc="E2FED5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775D0A"/>
    <w:multiLevelType w:val="hybridMultilevel"/>
    <w:tmpl w:val="162CE29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1B22332"/>
    <w:multiLevelType w:val="hybridMultilevel"/>
    <w:tmpl w:val="F95A94CE"/>
    <w:lvl w:ilvl="0" w:tplc="395C0B52">
      <w:start w:val="1"/>
      <w:numFmt w:val="bullet"/>
      <w:lvlText w:val="•"/>
      <w:lvlJc w:val="left"/>
      <w:pPr>
        <w:tabs>
          <w:tab w:val="num" w:pos="720"/>
        </w:tabs>
        <w:ind w:left="720" w:hanging="360"/>
      </w:pPr>
      <w:rPr>
        <w:rFonts w:ascii="Arial" w:hAnsi="Arial" w:hint="default"/>
      </w:rPr>
    </w:lvl>
    <w:lvl w:ilvl="1" w:tplc="9F945C26">
      <w:start w:val="1"/>
      <w:numFmt w:val="bullet"/>
      <w:lvlText w:val="•"/>
      <w:lvlJc w:val="left"/>
      <w:pPr>
        <w:tabs>
          <w:tab w:val="num" w:pos="1440"/>
        </w:tabs>
        <w:ind w:left="1440" w:hanging="360"/>
      </w:pPr>
      <w:rPr>
        <w:rFonts w:ascii="Arial" w:hAnsi="Arial" w:hint="default"/>
      </w:rPr>
    </w:lvl>
    <w:lvl w:ilvl="2" w:tplc="81ECA3D2" w:tentative="1">
      <w:start w:val="1"/>
      <w:numFmt w:val="bullet"/>
      <w:lvlText w:val="•"/>
      <w:lvlJc w:val="left"/>
      <w:pPr>
        <w:tabs>
          <w:tab w:val="num" w:pos="2160"/>
        </w:tabs>
        <w:ind w:left="2160" w:hanging="360"/>
      </w:pPr>
      <w:rPr>
        <w:rFonts w:ascii="Arial" w:hAnsi="Arial" w:hint="default"/>
      </w:rPr>
    </w:lvl>
    <w:lvl w:ilvl="3" w:tplc="26DE68EE" w:tentative="1">
      <w:start w:val="1"/>
      <w:numFmt w:val="bullet"/>
      <w:lvlText w:val="•"/>
      <w:lvlJc w:val="left"/>
      <w:pPr>
        <w:tabs>
          <w:tab w:val="num" w:pos="2880"/>
        </w:tabs>
        <w:ind w:left="2880" w:hanging="360"/>
      </w:pPr>
      <w:rPr>
        <w:rFonts w:ascii="Arial" w:hAnsi="Arial" w:hint="default"/>
      </w:rPr>
    </w:lvl>
    <w:lvl w:ilvl="4" w:tplc="D474F29A" w:tentative="1">
      <w:start w:val="1"/>
      <w:numFmt w:val="bullet"/>
      <w:lvlText w:val="•"/>
      <w:lvlJc w:val="left"/>
      <w:pPr>
        <w:tabs>
          <w:tab w:val="num" w:pos="3600"/>
        </w:tabs>
        <w:ind w:left="3600" w:hanging="360"/>
      </w:pPr>
      <w:rPr>
        <w:rFonts w:ascii="Arial" w:hAnsi="Arial" w:hint="default"/>
      </w:rPr>
    </w:lvl>
    <w:lvl w:ilvl="5" w:tplc="82F0CBDA" w:tentative="1">
      <w:start w:val="1"/>
      <w:numFmt w:val="bullet"/>
      <w:lvlText w:val="•"/>
      <w:lvlJc w:val="left"/>
      <w:pPr>
        <w:tabs>
          <w:tab w:val="num" w:pos="4320"/>
        </w:tabs>
        <w:ind w:left="4320" w:hanging="360"/>
      </w:pPr>
      <w:rPr>
        <w:rFonts w:ascii="Arial" w:hAnsi="Arial" w:hint="default"/>
      </w:rPr>
    </w:lvl>
    <w:lvl w:ilvl="6" w:tplc="ED068B98" w:tentative="1">
      <w:start w:val="1"/>
      <w:numFmt w:val="bullet"/>
      <w:lvlText w:val="•"/>
      <w:lvlJc w:val="left"/>
      <w:pPr>
        <w:tabs>
          <w:tab w:val="num" w:pos="5040"/>
        </w:tabs>
        <w:ind w:left="5040" w:hanging="360"/>
      </w:pPr>
      <w:rPr>
        <w:rFonts w:ascii="Arial" w:hAnsi="Arial" w:hint="default"/>
      </w:rPr>
    </w:lvl>
    <w:lvl w:ilvl="7" w:tplc="A6382B84" w:tentative="1">
      <w:start w:val="1"/>
      <w:numFmt w:val="bullet"/>
      <w:lvlText w:val="•"/>
      <w:lvlJc w:val="left"/>
      <w:pPr>
        <w:tabs>
          <w:tab w:val="num" w:pos="5760"/>
        </w:tabs>
        <w:ind w:left="5760" w:hanging="360"/>
      </w:pPr>
      <w:rPr>
        <w:rFonts w:ascii="Arial" w:hAnsi="Arial" w:hint="default"/>
      </w:rPr>
    </w:lvl>
    <w:lvl w:ilvl="8" w:tplc="F0C2D37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624D7A"/>
    <w:multiLevelType w:val="multilevel"/>
    <w:tmpl w:val="EB1418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EB67D1F"/>
    <w:multiLevelType w:val="hybridMultilevel"/>
    <w:tmpl w:val="C1BA8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ED41817"/>
    <w:multiLevelType w:val="hybridMultilevel"/>
    <w:tmpl w:val="C310B700"/>
    <w:lvl w:ilvl="0" w:tplc="F74836C2">
      <w:start w:val="1"/>
      <w:numFmt w:val="bullet"/>
      <w:lvlText w:val="•"/>
      <w:lvlJc w:val="left"/>
      <w:pPr>
        <w:tabs>
          <w:tab w:val="num" w:pos="720"/>
        </w:tabs>
        <w:ind w:left="720" w:hanging="360"/>
      </w:pPr>
      <w:rPr>
        <w:rFonts w:ascii="Arial" w:hAnsi="Arial" w:hint="default"/>
      </w:rPr>
    </w:lvl>
    <w:lvl w:ilvl="1" w:tplc="30E40CF0">
      <w:start w:val="1"/>
      <w:numFmt w:val="bullet"/>
      <w:lvlText w:val="•"/>
      <w:lvlJc w:val="left"/>
      <w:pPr>
        <w:tabs>
          <w:tab w:val="num" w:pos="1440"/>
        </w:tabs>
        <w:ind w:left="1440" w:hanging="360"/>
      </w:pPr>
      <w:rPr>
        <w:rFonts w:ascii="Arial" w:hAnsi="Arial" w:hint="default"/>
      </w:rPr>
    </w:lvl>
    <w:lvl w:ilvl="2" w:tplc="909C4312">
      <w:start w:val="110"/>
      <w:numFmt w:val="bullet"/>
      <w:lvlText w:val="•"/>
      <w:lvlJc w:val="left"/>
      <w:pPr>
        <w:tabs>
          <w:tab w:val="num" w:pos="2160"/>
        </w:tabs>
        <w:ind w:left="2160" w:hanging="360"/>
      </w:pPr>
      <w:rPr>
        <w:rFonts w:ascii="Arial" w:hAnsi="Arial" w:hint="default"/>
      </w:rPr>
    </w:lvl>
    <w:lvl w:ilvl="3" w:tplc="68389590">
      <w:start w:val="110"/>
      <w:numFmt w:val="bullet"/>
      <w:lvlText w:val="•"/>
      <w:lvlJc w:val="left"/>
      <w:pPr>
        <w:tabs>
          <w:tab w:val="num" w:pos="2880"/>
        </w:tabs>
        <w:ind w:left="2880" w:hanging="360"/>
      </w:pPr>
      <w:rPr>
        <w:rFonts w:ascii="Arial" w:hAnsi="Arial" w:hint="default"/>
      </w:rPr>
    </w:lvl>
    <w:lvl w:ilvl="4" w:tplc="1CC2BCB8" w:tentative="1">
      <w:start w:val="1"/>
      <w:numFmt w:val="bullet"/>
      <w:lvlText w:val="•"/>
      <w:lvlJc w:val="left"/>
      <w:pPr>
        <w:tabs>
          <w:tab w:val="num" w:pos="3600"/>
        </w:tabs>
        <w:ind w:left="3600" w:hanging="360"/>
      </w:pPr>
      <w:rPr>
        <w:rFonts w:ascii="Arial" w:hAnsi="Arial" w:hint="default"/>
      </w:rPr>
    </w:lvl>
    <w:lvl w:ilvl="5" w:tplc="7CC878FE" w:tentative="1">
      <w:start w:val="1"/>
      <w:numFmt w:val="bullet"/>
      <w:lvlText w:val="•"/>
      <w:lvlJc w:val="left"/>
      <w:pPr>
        <w:tabs>
          <w:tab w:val="num" w:pos="4320"/>
        </w:tabs>
        <w:ind w:left="4320" w:hanging="360"/>
      </w:pPr>
      <w:rPr>
        <w:rFonts w:ascii="Arial" w:hAnsi="Arial" w:hint="default"/>
      </w:rPr>
    </w:lvl>
    <w:lvl w:ilvl="6" w:tplc="056EAF98" w:tentative="1">
      <w:start w:val="1"/>
      <w:numFmt w:val="bullet"/>
      <w:lvlText w:val="•"/>
      <w:lvlJc w:val="left"/>
      <w:pPr>
        <w:tabs>
          <w:tab w:val="num" w:pos="5040"/>
        </w:tabs>
        <w:ind w:left="5040" w:hanging="360"/>
      </w:pPr>
      <w:rPr>
        <w:rFonts w:ascii="Arial" w:hAnsi="Arial" w:hint="default"/>
      </w:rPr>
    </w:lvl>
    <w:lvl w:ilvl="7" w:tplc="0BDEA2D0" w:tentative="1">
      <w:start w:val="1"/>
      <w:numFmt w:val="bullet"/>
      <w:lvlText w:val="•"/>
      <w:lvlJc w:val="left"/>
      <w:pPr>
        <w:tabs>
          <w:tab w:val="num" w:pos="5760"/>
        </w:tabs>
        <w:ind w:left="5760" w:hanging="360"/>
      </w:pPr>
      <w:rPr>
        <w:rFonts w:ascii="Arial" w:hAnsi="Arial" w:hint="default"/>
      </w:rPr>
    </w:lvl>
    <w:lvl w:ilvl="8" w:tplc="7FDCC3E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14"/>
  </w:num>
  <w:num w:numId="3">
    <w:abstractNumId w:val="0"/>
  </w:num>
  <w:num w:numId="4">
    <w:abstractNumId w:val="19"/>
  </w:num>
  <w:num w:numId="5">
    <w:abstractNumId w:val="20"/>
  </w:num>
  <w:num w:numId="6">
    <w:abstractNumId w:val="26"/>
  </w:num>
  <w:num w:numId="7">
    <w:abstractNumId w:val="5"/>
  </w:num>
  <w:num w:numId="8">
    <w:abstractNumId w:val="6"/>
  </w:num>
  <w:num w:numId="9">
    <w:abstractNumId w:val="2"/>
  </w:num>
  <w:num w:numId="10">
    <w:abstractNumId w:val="33"/>
  </w:num>
  <w:num w:numId="11">
    <w:abstractNumId w:val="12"/>
  </w:num>
  <w:num w:numId="12">
    <w:abstractNumId w:val="30"/>
  </w:num>
  <w:num w:numId="13">
    <w:abstractNumId w:val="9"/>
  </w:num>
  <w:num w:numId="14">
    <w:abstractNumId w:val="18"/>
  </w:num>
  <w:num w:numId="15">
    <w:abstractNumId w:val="29"/>
  </w:num>
  <w:num w:numId="16">
    <w:abstractNumId w:val="1"/>
  </w:num>
  <w:num w:numId="17">
    <w:abstractNumId w:val="16"/>
  </w:num>
  <w:num w:numId="18">
    <w:abstractNumId w:val="11"/>
  </w:num>
  <w:num w:numId="19">
    <w:abstractNumId w:val="8"/>
  </w:num>
  <w:num w:numId="20">
    <w:abstractNumId w:val="31"/>
  </w:num>
  <w:num w:numId="21">
    <w:abstractNumId w:val="7"/>
  </w:num>
  <w:num w:numId="22">
    <w:abstractNumId w:val="25"/>
  </w:num>
  <w:num w:numId="23">
    <w:abstractNumId w:val="13"/>
  </w:num>
  <w:num w:numId="24">
    <w:abstractNumId w:val="23"/>
  </w:num>
  <w:num w:numId="25">
    <w:abstractNumId w:val="28"/>
  </w:num>
  <w:num w:numId="26">
    <w:abstractNumId w:val="21"/>
  </w:num>
  <w:num w:numId="27">
    <w:abstractNumId w:val="27"/>
  </w:num>
  <w:num w:numId="28">
    <w:abstractNumId w:val="24"/>
  </w:num>
  <w:num w:numId="29">
    <w:abstractNumId w:val="32"/>
  </w:num>
  <w:num w:numId="30">
    <w:abstractNumId w:val="15"/>
  </w:num>
  <w:num w:numId="31">
    <w:abstractNumId w:val="3"/>
  </w:num>
  <w:num w:numId="32">
    <w:abstractNumId w:val="4"/>
  </w:num>
  <w:num w:numId="33">
    <w:abstractNumId w:val="22"/>
  </w:num>
  <w:num w:numId="34">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3778"/>
    <w:rsid w:val="0000564C"/>
    <w:rsid w:val="00006446"/>
    <w:rsid w:val="00006896"/>
    <w:rsid w:val="00006EC1"/>
    <w:rsid w:val="00007CDC"/>
    <w:rsid w:val="00010F01"/>
    <w:rsid w:val="00011B28"/>
    <w:rsid w:val="00012495"/>
    <w:rsid w:val="00013FC8"/>
    <w:rsid w:val="00014F66"/>
    <w:rsid w:val="00015CC2"/>
    <w:rsid w:val="00015D15"/>
    <w:rsid w:val="00022EF6"/>
    <w:rsid w:val="0002564D"/>
    <w:rsid w:val="00025ECA"/>
    <w:rsid w:val="00026E30"/>
    <w:rsid w:val="0002705C"/>
    <w:rsid w:val="000325B8"/>
    <w:rsid w:val="00033A33"/>
    <w:rsid w:val="00034B0C"/>
    <w:rsid w:val="00034C15"/>
    <w:rsid w:val="00036BA1"/>
    <w:rsid w:val="00040403"/>
    <w:rsid w:val="000422E2"/>
    <w:rsid w:val="000428E8"/>
    <w:rsid w:val="00042F22"/>
    <w:rsid w:val="00043A70"/>
    <w:rsid w:val="00043F8E"/>
    <w:rsid w:val="000440A2"/>
    <w:rsid w:val="000444EF"/>
    <w:rsid w:val="00044C67"/>
    <w:rsid w:val="00046D31"/>
    <w:rsid w:val="00052781"/>
    <w:rsid w:val="0005287E"/>
    <w:rsid w:val="00052A07"/>
    <w:rsid w:val="00053191"/>
    <w:rsid w:val="000534E3"/>
    <w:rsid w:val="0005406E"/>
    <w:rsid w:val="0005606A"/>
    <w:rsid w:val="00057117"/>
    <w:rsid w:val="0006060C"/>
    <w:rsid w:val="000606C6"/>
    <w:rsid w:val="000616E7"/>
    <w:rsid w:val="0006487E"/>
    <w:rsid w:val="0006535A"/>
    <w:rsid w:val="00065725"/>
    <w:rsid w:val="00065E1A"/>
    <w:rsid w:val="00066DA9"/>
    <w:rsid w:val="0007155D"/>
    <w:rsid w:val="000732DF"/>
    <w:rsid w:val="000738AC"/>
    <w:rsid w:val="000748AA"/>
    <w:rsid w:val="00075076"/>
    <w:rsid w:val="0007635F"/>
    <w:rsid w:val="00077468"/>
    <w:rsid w:val="00077E5F"/>
    <w:rsid w:val="0008036A"/>
    <w:rsid w:val="00081160"/>
    <w:rsid w:val="0008134A"/>
    <w:rsid w:val="0008193D"/>
    <w:rsid w:val="00081AE6"/>
    <w:rsid w:val="000828B7"/>
    <w:rsid w:val="000836A3"/>
    <w:rsid w:val="000855EB"/>
    <w:rsid w:val="00085B52"/>
    <w:rsid w:val="000866F2"/>
    <w:rsid w:val="0009009F"/>
    <w:rsid w:val="00091557"/>
    <w:rsid w:val="00091A62"/>
    <w:rsid w:val="000924C1"/>
    <w:rsid w:val="000924F0"/>
    <w:rsid w:val="00093474"/>
    <w:rsid w:val="0009370F"/>
    <w:rsid w:val="0009510F"/>
    <w:rsid w:val="00096170"/>
    <w:rsid w:val="000A111D"/>
    <w:rsid w:val="000A1B7B"/>
    <w:rsid w:val="000A4C41"/>
    <w:rsid w:val="000A5107"/>
    <w:rsid w:val="000A56F2"/>
    <w:rsid w:val="000A580C"/>
    <w:rsid w:val="000B078B"/>
    <w:rsid w:val="000B2719"/>
    <w:rsid w:val="000B3A8F"/>
    <w:rsid w:val="000B45F4"/>
    <w:rsid w:val="000B4AB9"/>
    <w:rsid w:val="000B58C3"/>
    <w:rsid w:val="000B5B4E"/>
    <w:rsid w:val="000B61E9"/>
    <w:rsid w:val="000B71EB"/>
    <w:rsid w:val="000B7FE1"/>
    <w:rsid w:val="000C165A"/>
    <w:rsid w:val="000C2E19"/>
    <w:rsid w:val="000C3C55"/>
    <w:rsid w:val="000C4F3E"/>
    <w:rsid w:val="000C51EC"/>
    <w:rsid w:val="000C5BC4"/>
    <w:rsid w:val="000C6201"/>
    <w:rsid w:val="000C6F25"/>
    <w:rsid w:val="000C72EF"/>
    <w:rsid w:val="000C7772"/>
    <w:rsid w:val="000C7E89"/>
    <w:rsid w:val="000D0D07"/>
    <w:rsid w:val="000D3D4C"/>
    <w:rsid w:val="000D4797"/>
    <w:rsid w:val="000D614F"/>
    <w:rsid w:val="000D7269"/>
    <w:rsid w:val="000D7F1F"/>
    <w:rsid w:val="000E0527"/>
    <w:rsid w:val="000E1E92"/>
    <w:rsid w:val="000E369D"/>
    <w:rsid w:val="000E36AB"/>
    <w:rsid w:val="000E5128"/>
    <w:rsid w:val="000F06D6"/>
    <w:rsid w:val="000F0EB1"/>
    <w:rsid w:val="000F1106"/>
    <w:rsid w:val="000F30DE"/>
    <w:rsid w:val="000F36A4"/>
    <w:rsid w:val="000F3BE9"/>
    <w:rsid w:val="000F3F6C"/>
    <w:rsid w:val="000F6DF3"/>
    <w:rsid w:val="000F7F67"/>
    <w:rsid w:val="001005FF"/>
    <w:rsid w:val="00101D6A"/>
    <w:rsid w:val="00102E1D"/>
    <w:rsid w:val="001054AB"/>
    <w:rsid w:val="00105EE7"/>
    <w:rsid w:val="001062FB"/>
    <w:rsid w:val="001063E6"/>
    <w:rsid w:val="0010686F"/>
    <w:rsid w:val="001122AF"/>
    <w:rsid w:val="00113CF4"/>
    <w:rsid w:val="00114AE3"/>
    <w:rsid w:val="001153EA"/>
    <w:rsid w:val="00115643"/>
    <w:rsid w:val="00116765"/>
    <w:rsid w:val="0011691C"/>
    <w:rsid w:val="00116CD0"/>
    <w:rsid w:val="00117814"/>
    <w:rsid w:val="00120AD4"/>
    <w:rsid w:val="001219F5"/>
    <w:rsid w:val="00121A20"/>
    <w:rsid w:val="0012278F"/>
    <w:rsid w:val="001233E0"/>
    <w:rsid w:val="0012377F"/>
    <w:rsid w:val="00123969"/>
    <w:rsid w:val="00124314"/>
    <w:rsid w:val="00126681"/>
    <w:rsid w:val="00126B4A"/>
    <w:rsid w:val="00132FD0"/>
    <w:rsid w:val="00133DD3"/>
    <w:rsid w:val="00133F6C"/>
    <w:rsid w:val="00134151"/>
    <w:rsid w:val="001344C0"/>
    <w:rsid w:val="001346FA"/>
    <w:rsid w:val="00135252"/>
    <w:rsid w:val="0013611E"/>
    <w:rsid w:val="00137AB5"/>
    <w:rsid w:val="00137F0B"/>
    <w:rsid w:val="001408F5"/>
    <w:rsid w:val="00141599"/>
    <w:rsid w:val="00142633"/>
    <w:rsid w:val="00146030"/>
    <w:rsid w:val="00151E23"/>
    <w:rsid w:val="001526E0"/>
    <w:rsid w:val="001551B5"/>
    <w:rsid w:val="0016020A"/>
    <w:rsid w:val="0016097D"/>
    <w:rsid w:val="00161575"/>
    <w:rsid w:val="001639D9"/>
    <w:rsid w:val="00163DF4"/>
    <w:rsid w:val="001659C1"/>
    <w:rsid w:val="00172C78"/>
    <w:rsid w:val="00173A8E"/>
    <w:rsid w:val="0017502C"/>
    <w:rsid w:val="001809F6"/>
    <w:rsid w:val="00180BFA"/>
    <w:rsid w:val="0018143F"/>
    <w:rsid w:val="00181FF8"/>
    <w:rsid w:val="001842D8"/>
    <w:rsid w:val="001844B1"/>
    <w:rsid w:val="00184BC0"/>
    <w:rsid w:val="00185E4A"/>
    <w:rsid w:val="00190AC1"/>
    <w:rsid w:val="00190CF6"/>
    <w:rsid w:val="0019341A"/>
    <w:rsid w:val="001965F5"/>
    <w:rsid w:val="00197DF9"/>
    <w:rsid w:val="001A1987"/>
    <w:rsid w:val="001A1D61"/>
    <w:rsid w:val="001A2564"/>
    <w:rsid w:val="001A29D7"/>
    <w:rsid w:val="001A5A7B"/>
    <w:rsid w:val="001A5C53"/>
    <w:rsid w:val="001A5F42"/>
    <w:rsid w:val="001A6173"/>
    <w:rsid w:val="001A68CD"/>
    <w:rsid w:val="001A6CBA"/>
    <w:rsid w:val="001B0D97"/>
    <w:rsid w:val="001B15CB"/>
    <w:rsid w:val="001B2D95"/>
    <w:rsid w:val="001B5A5D"/>
    <w:rsid w:val="001C1CE5"/>
    <w:rsid w:val="001C3D2A"/>
    <w:rsid w:val="001C3DC9"/>
    <w:rsid w:val="001D09D0"/>
    <w:rsid w:val="001D17C6"/>
    <w:rsid w:val="001D51BA"/>
    <w:rsid w:val="001D53E7"/>
    <w:rsid w:val="001D6342"/>
    <w:rsid w:val="001D6D53"/>
    <w:rsid w:val="001D781B"/>
    <w:rsid w:val="001E1624"/>
    <w:rsid w:val="001E3FB6"/>
    <w:rsid w:val="001E58E2"/>
    <w:rsid w:val="001E7AED"/>
    <w:rsid w:val="001F29A9"/>
    <w:rsid w:val="001F2F37"/>
    <w:rsid w:val="001F3916"/>
    <w:rsid w:val="001F54C5"/>
    <w:rsid w:val="001F662C"/>
    <w:rsid w:val="001F7074"/>
    <w:rsid w:val="001F764B"/>
    <w:rsid w:val="00200400"/>
    <w:rsid w:val="00200490"/>
    <w:rsid w:val="002014DD"/>
    <w:rsid w:val="00201F3A"/>
    <w:rsid w:val="00203F96"/>
    <w:rsid w:val="002069B2"/>
    <w:rsid w:val="00207C8E"/>
    <w:rsid w:val="00207FA3"/>
    <w:rsid w:val="00211B9C"/>
    <w:rsid w:val="00214DA8"/>
    <w:rsid w:val="00215423"/>
    <w:rsid w:val="002155D3"/>
    <w:rsid w:val="002158FA"/>
    <w:rsid w:val="00215953"/>
    <w:rsid w:val="00217565"/>
    <w:rsid w:val="00217921"/>
    <w:rsid w:val="00220600"/>
    <w:rsid w:val="002214D6"/>
    <w:rsid w:val="002224DB"/>
    <w:rsid w:val="00223FCB"/>
    <w:rsid w:val="002252C3"/>
    <w:rsid w:val="00225C54"/>
    <w:rsid w:val="0022614E"/>
    <w:rsid w:val="00227475"/>
    <w:rsid w:val="00230765"/>
    <w:rsid w:val="00230D18"/>
    <w:rsid w:val="002319E4"/>
    <w:rsid w:val="00232DC9"/>
    <w:rsid w:val="002337D4"/>
    <w:rsid w:val="002338B3"/>
    <w:rsid w:val="00234EFA"/>
    <w:rsid w:val="00235632"/>
    <w:rsid w:val="00235872"/>
    <w:rsid w:val="002378FA"/>
    <w:rsid w:val="002403E6"/>
    <w:rsid w:val="00240BB4"/>
    <w:rsid w:val="00241559"/>
    <w:rsid w:val="002435B3"/>
    <w:rsid w:val="00244A0F"/>
    <w:rsid w:val="00244CDD"/>
    <w:rsid w:val="002458EB"/>
    <w:rsid w:val="00246ADF"/>
    <w:rsid w:val="002500C8"/>
    <w:rsid w:val="00251882"/>
    <w:rsid w:val="00252826"/>
    <w:rsid w:val="002532D7"/>
    <w:rsid w:val="00256209"/>
    <w:rsid w:val="002563FE"/>
    <w:rsid w:val="00257543"/>
    <w:rsid w:val="002617E7"/>
    <w:rsid w:val="00262BCE"/>
    <w:rsid w:val="00264228"/>
    <w:rsid w:val="00264334"/>
    <w:rsid w:val="0026473E"/>
    <w:rsid w:val="00264FDA"/>
    <w:rsid w:val="00266214"/>
    <w:rsid w:val="00267C83"/>
    <w:rsid w:val="00270874"/>
    <w:rsid w:val="0027144F"/>
    <w:rsid w:val="00271813"/>
    <w:rsid w:val="00271F3A"/>
    <w:rsid w:val="00273278"/>
    <w:rsid w:val="002737F4"/>
    <w:rsid w:val="00276DD6"/>
    <w:rsid w:val="002805F5"/>
    <w:rsid w:val="00280751"/>
    <w:rsid w:val="00281463"/>
    <w:rsid w:val="0028280A"/>
    <w:rsid w:val="00285569"/>
    <w:rsid w:val="002862CA"/>
    <w:rsid w:val="00286ACD"/>
    <w:rsid w:val="00287838"/>
    <w:rsid w:val="002907B5"/>
    <w:rsid w:val="00291CB8"/>
    <w:rsid w:val="00292EB7"/>
    <w:rsid w:val="00293DB8"/>
    <w:rsid w:val="00295CDB"/>
    <w:rsid w:val="00296227"/>
    <w:rsid w:val="002968CE"/>
    <w:rsid w:val="00296DA7"/>
    <w:rsid w:val="00296F44"/>
    <w:rsid w:val="0029777D"/>
    <w:rsid w:val="00297CE7"/>
    <w:rsid w:val="002A055E"/>
    <w:rsid w:val="002A0588"/>
    <w:rsid w:val="002A1586"/>
    <w:rsid w:val="002A1D4E"/>
    <w:rsid w:val="002A2433"/>
    <w:rsid w:val="002A2869"/>
    <w:rsid w:val="002A3485"/>
    <w:rsid w:val="002A4470"/>
    <w:rsid w:val="002A4F8B"/>
    <w:rsid w:val="002A61D6"/>
    <w:rsid w:val="002B040E"/>
    <w:rsid w:val="002B17BB"/>
    <w:rsid w:val="002B24D6"/>
    <w:rsid w:val="002B3C73"/>
    <w:rsid w:val="002B5D42"/>
    <w:rsid w:val="002B626A"/>
    <w:rsid w:val="002B6D57"/>
    <w:rsid w:val="002C4096"/>
    <w:rsid w:val="002C4191"/>
    <w:rsid w:val="002C41E6"/>
    <w:rsid w:val="002C4E9F"/>
    <w:rsid w:val="002C633C"/>
    <w:rsid w:val="002C663B"/>
    <w:rsid w:val="002C783F"/>
    <w:rsid w:val="002D071A"/>
    <w:rsid w:val="002D27C6"/>
    <w:rsid w:val="002D34B2"/>
    <w:rsid w:val="002D48B0"/>
    <w:rsid w:val="002D5B37"/>
    <w:rsid w:val="002D7637"/>
    <w:rsid w:val="002D7E85"/>
    <w:rsid w:val="002E17F2"/>
    <w:rsid w:val="002E1C2A"/>
    <w:rsid w:val="002E2480"/>
    <w:rsid w:val="002E5621"/>
    <w:rsid w:val="002E583A"/>
    <w:rsid w:val="002E5CC3"/>
    <w:rsid w:val="002E76DD"/>
    <w:rsid w:val="002E7CAE"/>
    <w:rsid w:val="002F2771"/>
    <w:rsid w:val="002F37A9"/>
    <w:rsid w:val="002F5755"/>
    <w:rsid w:val="00300910"/>
    <w:rsid w:val="00300943"/>
    <w:rsid w:val="00301647"/>
    <w:rsid w:val="00301CE6"/>
    <w:rsid w:val="0030256B"/>
    <w:rsid w:val="00303D64"/>
    <w:rsid w:val="0030501F"/>
    <w:rsid w:val="00307BA1"/>
    <w:rsid w:val="00311702"/>
    <w:rsid w:val="003118FF"/>
    <w:rsid w:val="00311E82"/>
    <w:rsid w:val="00311FCA"/>
    <w:rsid w:val="00311FD1"/>
    <w:rsid w:val="0031362A"/>
    <w:rsid w:val="00313B59"/>
    <w:rsid w:val="00313F4F"/>
    <w:rsid w:val="00313FD6"/>
    <w:rsid w:val="003143BD"/>
    <w:rsid w:val="00315363"/>
    <w:rsid w:val="00316181"/>
    <w:rsid w:val="00316BEF"/>
    <w:rsid w:val="00320222"/>
    <w:rsid w:val="003203ED"/>
    <w:rsid w:val="003212D6"/>
    <w:rsid w:val="00322187"/>
    <w:rsid w:val="00322C9F"/>
    <w:rsid w:val="0032382C"/>
    <w:rsid w:val="00324D23"/>
    <w:rsid w:val="00325D33"/>
    <w:rsid w:val="00325D7B"/>
    <w:rsid w:val="003308CF"/>
    <w:rsid w:val="00331751"/>
    <w:rsid w:val="003342F0"/>
    <w:rsid w:val="00334579"/>
    <w:rsid w:val="00334CC0"/>
    <w:rsid w:val="00335858"/>
    <w:rsid w:val="00336BDA"/>
    <w:rsid w:val="00342BD7"/>
    <w:rsid w:val="00344690"/>
    <w:rsid w:val="00346DB5"/>
    <w:rsid w:val="003477B1"/>
    <w:rsid w:val="00350747"/>
    <w:rsid w:val="00352500"/>
    <w:rsid w:val="0035271C"/>
    <w:rsid w:val="00354098"/>
    <w:rsid w:val="003551C2"/>
    <w:rsid w:val="00357380"/>
    <w:rsid w:val="00357806"/>
    <w:rsid w:val="00357B0D"/>
    <w:rsid w:val="003602D9"/>
    <w:rsid w:val="003604CE"/>
    <w:rsid w:val="00360BFB"/>
    <w:rsid w:val="00370E47"/>
    <w:rsid w:val="00370F25"/>
    <w:rsid w:val="0037268C"/>
    <w:rsid w:val="003742AC"/>
    <w:rsid w:val="0037443F"/>
    <w:rsid w:val="00374ABA"/>
    <w:rsid w:val="003766F7"/>
    <w:rsid w:val="00377CE1"/>
    <w:rsid w:val="00382CE4"/>
    <w:rsid w:val="00385BF0"/>
    <w:rsid w:val="00387610"/>
    <w:rsid w:val="0039094C"/>
    <w:rsid w:val="00392526"/>
    <w:rsid w:val="003939FF"/>
    <w:rsid w:val="00394745"/>
    <w:rsid w:val="003A21E2"/>
    <w:rsid w:val="003A2223"/>
    <w:rsid w:val="003A281B"/>
    <w:rsid w:val="003A2A0F"/>
    <w:rsid w:val="003A2B9F"/>
    <w:rsid w:val="003A45A1"/>
    <w:rsid w:val="003A4929"/>
    <w:rsid w:val="003A5B0A"/>
    <w:rsid w:val="003A6799"/>
    <w:rsid w:val="003A6BAC"/>
    <w:rsid w:val="003A70A4"/>
    <w:rsid w:val="003A7EF3"/>
    <w:rsid w:val="003B042E"/>
    <w:rsid w:val="003B159C"/>
    <w:rsid w:val="003B369F"/>
    <w:rsid w:val="003B36A3"/>
    <w:rsid w:val="003B57F1"/>
    <w:rsid w:val="003B64BB"/>
    <w:rsid w:val="003B77C7"/>
    <w:rsid w:val="003B7FE5"/>
    <w:rsid w:val="003C11C8"/>
    <w:rsid w:val="003C20BF"/>
    <w:rsid w:val="003C20D7"/>
    <w:rsid w:val="003C2702"/>
    <w:rsid w:val="003C3953"/>
    <w:rsid w:val="003C5304"/>
    <w:rsid w:val="003C6B30"/>
    <w:rsid w:val="003C7806"/>
    <w:rsid w:val="003D0B64"/>
    <w:rsid w:val="003D109F"/>
    <w:rsid w:val="003D2478"/>
    <w:rsid w:val="003D24ED"/>
    <w:rsid w:val="003D3C45"/>
    <w:rsid w:val="003D4C48"/>
    <w:rsid w:val="003D5B1F"/>
    <w:rsid w:val="003D737A"/>
    <w:rsid w:val="003D7CD1"/>
    <w:rsid w:val="003E092C"/>
    <w:rsid w:val="003E0B74"/>
    <w:rsid w:val="003E15FA"/>
    <w:rsid w:val="003E2938"/>
    <w:rsid w:val="003E55E4"/>
    <w:rsid w:val="003E6476"/>
    <w:rsid w:val="003E67E8"/>
    <w:rsid w:val="003E74E3"/>
    <w:rsid w:val="003F05C7"/>
    <w:rsid w:val="003F2CD4"/>
    <w:rsid w:val="003F2D87"/>
    <w:rsid w:val="003F4079"/>
    <w:rsid w:val="003F5872"/>
    <w:rsid w:val="003F6BBE"/>
    <w:rsid w:val="004000E8"/>
    <w:rsid w:val="00402E2B"/>
    <w:rsid w:val="00404DAD"/>
    <w:rsid w:val="0040512B"/>
    <w:rsid w:val="00405CA5"/>
    <w:rsid w:val="004070F5"/>
    <w:rsid w:val="00407CD3"/>
    <w:rsid w:val="00410134"/>
    <w:rsid w:val="00410B72"/>
    <w:rsid w:val="00410F18"/>
    <w:rsid w:val="0041263E"/>
    <w:rsid w:val="00413AAC"/>
    <w:rsid w:val="00413E92"/>
    <w:rsid w:val="00415B75"/>
    <w:rsid w:val="004160D3"/>
    <w:rsid w:val="00416169"/>
    <w:rsid w:val="00416222"/>
    <w:rsid w:val="0041663C"/>
    <w:rsid w:val="00420CED"/>
    <w:rsid w:val="00421105"/>
    <w:rsid w:val="004229D9"/>
    <w:rsid w:val="00422AA4"/>
    <w:rsid w:val="004242F4"/>
    <w:rsid w:val="004250CE"/>
    <w:rsid w:val="00427248"/>
    <w:rsid w:val="00437447"/>
    <w:rsid w:val="00441A92"/>
    <w:rsid w:val="00443083"/>
    <w:rsid w:val="004431DC"/>
    <w:rsid w:val="004447E2"/>
    <w:rsid w:val="00444F56"/>
    <w:rsid w:val="00446488"/>
    <w:rsid w:val="00450D69"/>
    <w:rsid w:val="004517AA"/>
    <w:rsid w:val="00451AB0"/>
    <w:rsid w:val="00452CAC"/>
    <w:rsid w:val="004552EF"/>
    <w:rsid w:val="00456A9C"/>
    <w:rsid w:val="00457565"/>
    <w:rsid w:val="00457944"/>
    <w:rsid w:val="0045799C"/>
    <w:rsid w:val="00457B71"/>
    <w:rsid w:val="00460877"/>
    <w:rsid w:val="0046141F"/>
    <w:rsid w:val="00461D09"/>
    <w:rsid w:val="00461EBA"/>
    <w:rsid w:val="004669E2"/>
    <w:rsid w:val="00470C31"/>
    <w:rsid w:val="00471DE0"/>
    <w:rsid w:val="004734D0"/>
    <w:rsid w:val="00474E7C"/>
    <w:rsid w:val="0047556B"/>
    <w:rsid w:val="004765B9"/>
    <w:rsid w:val="0047734B"/>
    <w:rsid w:val="00477768"/>
    <w:rsid w:val="00481C73"/>
    <w:rsid w:val="00485E45"/>
    <w:rsid w:val="0048673E"/>
    <w:rsid w:val="00487D74"/>
    <w:rsid w:val="0049015F"/>
    <w:rsid w:val="00492BC5"/>
    <w:rsid w:val="004964F1"/>
    <w:rsid w:val="00497023"/>
    <w:rsid w:val="004A0A42"/>
    <w:rsid w:val="004A16BC"/>
    <w:rsid w:val="004A2A75"/>
    <w:rsid w:val="004A2B94"/>
    <w:rsid w:val="004A417B"/>
    <w:rsid w:val="004A5D4D"/>
    <w:rsid w:val="004A65FF"/>
    <w:rsid w:val="004A7B6B"/>
    <w:rsid w:val="004B05D8"/>
    <w:rsid w:val="004B2AD3"/>
    <w:rsid w:val="004B69E1"/>
    <w:rsid w:val="004B6F6A"/>
    <w:rsid w:val="004B79D1"/>
    <w:rsid w:val="004B7C0C"/>
    <w:rsid w:val="004C3898"/>
    <w:rsid w:val="004C6454"/>
    <w:rsid w:val="004C6F5F"/>
    <w:rsid w:val="004D19E1"/>
    <w:rsid w:val="004D29C8"/>
    <w:rsid w:val="004D36B1"/>
    <w:rsid w:val="004D6725"/>
    <w:rsid w:val="004D7EBD"/>
    <w:rsid w:val="004E1592"/>
    <w:rsid w:val="004E203B"/>
    <w:rsid w:val="004E2680"/>
    <w:rsid w:val="004E28F9"/>
    <w:rsid w:val="004E417B"/>
    <w:rsid w:val="004E42C9"/>
    <w:rsid w:val="004E462E"/>
    <w:rsid w:val="004E56DC"/>
    <w:rsid w:val="004E5D8D"/>
    <w:rsid w:val="004E76F4"/>
    <w:rsid w:val="004E77CA"/>
    <w:rsid w:val="004F0B4E"/>
    <w:rsid w:val="004F0B6C"/>
    <w:rsid w:val="004F2078"/>
    <w:rsid w:val="004F24D8"/>
    <w:rsid w:val="004F3A41"/>
    <w:rsid w:val="004F4978"/>
    <w:rsid w:val="004F4DA3"/>
    <w:rsid w:val="004F5941"/>
    <w:rsid w:val="004F7552"/>
    <w:rsid w:val="004F7CF3"/>
    <w:rsid w:val="005029D7"/>
    <w:rsid w:val="00505BD4"/>
    <w:rsid w:val="00506557"/>
    <w:rsid w:val="0050677A"/>
    <w:rsid w:val="00506FB2"/>
    <w:rsid w:val="005108D8"/>
    <w:rsid w:val="00510F51"/>
    <w:rsid w:val="005116F9"/>
    <w:rsid w:val="00512D80"/>
    <w:rsid w:val="00514158"/>
    <w:rsid w:val="0051494D"/>
    <w:rsid w:val="005153A7"/>
    <w:rsid w:val="005164E1"/>
    <w:rsid w:val="00516BAB"/>
    <w:rsid w:val="00520B4C"/>
    <w:rsid w:val="00521436"/>
    <w:rsid w:val="005219CF"/>
    <w:rsid w:val="005224D8"/>
    <w:rsid w:val="00522C23"/>
    <w:rsid w:val="0052454F"/>
    <w:rsid w:val="005245DB"/>
    <w:rsid w:val="00524BCC"/>
    <w:rsid w:val="00525EBA"/>
    <w:rsid w:val="00526D3B"/>
    <w:rsid w:val="005270B0"/>
    <w:rsid w:val="0053334B"/>
    <w:rsid w:val="00534B59"/>
    <w:rsid w:val="005360F9"/>
    <w:rsid w:val="00536759"/>
    <w:rsid w:val="00536E0C"/>
    <w:rsid w:val="005371A8"/>
    <w:rsid w:val="005379CC"/>
    <w:rsid w:val="00537C62"/>
    <w:rsid w:val="00541417"/>
    <w:rsid w:val="0054141C"/>
    <w:rsid w:val="0054193D"/>
    <w:rsid w:val="0054241E"/>
    <w:rsid w:val="00543BF5"/>
    <w:rsid w:val="005464CC"/>
    <w:rsid w:val="00546970"/>
    <w:rsid w:val="00550115"/>
    <w:rsid w:val="00550919"/>
    <w:rsid w:val="00551310"/>
    <w:rsid w:val="0055306A"/>
    <w:rsid w:val="00554E19"/>
    <w:rsid w:val="005565C7"/>
    <w:rsid w:val="00560227"/>
    <w:rsid w:val="00560D34"/>
    <w:rsid w:val="0056121F"/>
    <w:rsid w:val="00562A82"/>
    <w:rsid w:val="00562A90"/>
    <w:rsid w:val="00565FFB"/>
    <w:rsid w:val="00572505"/>
    <w:rsid w:val="00577D14"/>
    <w:rsid w:val="0058101F"/>
    <w:rsid w:val="00582809"/>
    <w:rsid w:val="0058328E"/>
    <w:rsid w:val="00583709"/>
    <w:rsid w:val="0058680E"/>
    <w:rsid w:val="00586A19"/>
    <w:rsid w:val="0058798C"/>
    <w:rsid w:val="005900FA"/>
    <w:rsid w:val="00590836"/>
    <w:rsid w:val="00591861"/>
    <w:rsid w:val="00591E4A"/>
    <w:rsid w:val="00592655"/>
    <w:rsid w:val="005935A4"/>
    <w:rsid w:val="0059431D"/>
    <w:rsid w:val="005948C2"/>
    <w:rsid w:val="005955A4"/>
    <w:rsid w:val="00595DCA"/>
    <w:rsid w:val="0059779B"/>
    <w:rsid w:val="005A209A"/>
    <w:rsid w:val="005A3E62"/>
    <w:rsid w:val="005A662D"/>
    <w:rsid w:val="005A6852"/>
    <w:rsid w:val="005B10E4"/>
    <w:rsid w:val="005B1409"/>
    <w:rsid w:val="005B35D7"/>
    <w:rsid w:val="005B392A"/>
    <w:rsid w:val="005B3AA3"/>
    <w:rsid w:val="005B6F09"/>
    <w:rsid w:val="005B6F83"/>
    <w:rsid w:val="005B787C"/>
    <w:rsid w:val="005C024A"/>
    <w:rsid w:val="005C0275"/>
    <w:rsid w:val="005C07C8"/>
    <w:rsid w:val="005C1021"/>
    <w:rsid w:val="005C425F"/>
    <w:rsid w:val="005C4D03"/>
    <w:rsid w:val="005C4F3E"/>
    <w:rsid w:val="005C74FB"/>
    <w:rsid w:val="005C7F0D"/>
    <w:rsid w:val="005D0F19"/>
    <w:rsid w:val="005D1602"/>
    <w:rsid w:val="005D25D1"/>
    <w:rsid w:val="005D2736"/>
    <w:rsid w:val="005D2D20"/>
    <w:rsid w:val="005D3C19"/>
    <w:rsid w:val="005D456F"/>
    <w:rsid w:val="005D4FDF"/>
    <w:rsid w:val="005D536C"/>
    <w:rsid w:val="005E2E6A"/>
    <w:rsid w:val="005E385F"/>
    <w:rsid w:val="005E5632"/>
    <w:rsid w:val="005E56D2"/>
    <w:rsid w:val="005E5B81"/>
    <w:rsid w:val="005F1345"/>
    <w:rsid w:val="005F2CB1"/>
    <w:rsid w:val="005F3025"/>
    <w:rsid w:val="005F34A0"/>
    <w:rsid w:val="005F618C"/>
    <w:rsid w:val="005F70BD"/>
    <w:rsid w:val="005F78B5"/>
    <w:rsid w:val="006025DD"/>
    <w:rsid w:val="0060283C"/>
    <w:rsid w:val="00603BAE"/>
    <w:rsid w:val="00604F14"/>
    <w:rsid w:val="00611B83"/>
    <w:rsid w:val="00613257"/>
    <w:rsid w:val="00614896"/>
    <w:rsid w:val="00614E33"/>
    <w:rsid w:val="0061540D"/>
    <w:rsid w:val="00615A00"/>
    <w:rsid w:val="006171A1"/>
    <w:rsid w:val="00620A71"/>
    <w:rsid w:val="00620D80"/>
    <w:rsid w:val="00621C51"/>
    <w:rsid w:val="006234A6"/>
    <w:rsid w:val="00627C48"/>
    <w:rsid w:val="00630001"/>
    <w:rsid w:val="006311B3"/>
    <w:rsid w:val="0063284C"/>
    <w:rsid w:val="00633408"/>
    <w:rsid w:val="0063591E"/>
    <w:rsid w:val="00636398"/>
    <w:rsid w:val="006368D3"/>
    <w:rsid w:val="006377EC"/>
    <w:rsid w:val="00637F96"/>
    <w:rsid w:val="0064121A"/>
    <w:rsid w:val="0064151F"/>
    <w:rsid w:val="00641533"/>
    <w:rsid w:val="0064208D"/>
    <w:rsid w:val="00643475"/>
    <w:rsid w:val="0064396A"/>
    <w:rsid w:val="0064624E"/>
    <w:rsid w:val="00647389"/>
    <w:rsid w:val="006500B6"/>
    <w:rsid w:val="00650AB9"/>
    <w:rsid w:val="00651561"/>
    <w:rsid w:val="00654DC4"/>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186B"/>
    <w:rsid w:val="00671ED4"/>
    <w:rsid w:val="0067218F"/>
    <w:rsid w:val="006741F2"/>
    <w:rsid w:val="00674CC3"/>
    <w:rsid w:val="00675C72"/>
    <w:rsid w:val="006771F9"/>
    <w:rsid w:val="00677615"/>
    <w:rsid w:val="006776D7"/>
    <w:rsid w:val="006800C2"/>
    <w:rsid w:val="00681003"/>
    <w:rsid w:val="006817C9"/>
    <w:rsid w:val="00682491"/>
    <w:rsid w:val="006834E1"/>
    <w:rsid w:val="00683ECE"/>
    <w:rsid w:val="0068789B"/>
    <w:rsid w:val="00687BF1"/>
    <w:rsid w:val="00691740"/>
    <w:rsid w:val="00691C2A"/>
    <w:rsid w:val="00695FC2"/>
    <w:rsid w:val="00696949"/>
    <w:rsid w:val="00696A4F"/>
    <w:rsid w:val="00697052"/>
    <w:rsid w:val="006A0601"/>
    <w:rsid w:val="006A1E83"/>
    <w:rsid w:val="006A20C2"/>
    <w:rsid w:val="006A3D9A"/>
    <w:rsid w:val="006A46FB"/>
    <w:rsid w:val="006A5A3D"/>
    <w:rsid w:val="006A5E28"/>
    <w:rsid w:val="006A62B6"/>
    <w:rsid w:val="006A63B9"/>
    <w:rsid w:val="006A697B"/>
    <w:rsid w:val="006A7AFF"/>
    <w:rsid w:val="006B1816"/>
    <w:rsid w:val="006B2099"/>
    <w:rsid w:val="006B50CF"/>
    <w:rsid w:val="006B7758"/>
    <w:rsid w:val="006C03B8"/>
    <w:rsid w:val="006C1C20"/>
    <w:rsid w:val="006C1C7B"/>
    <w:rsid w:val="006C5EC9"/>
    <w:rsid w:val="006C6059"/>
    <w:rsid w:val="006C7522"/>
    <w:rsid w:val="006D19CE"/>
    <w:rsid w:val="006D1A2D"/>
    <w:rsid w:val="006D30C0"/>
    <w:rsid w:val="006D30D5"/>
    <w:rsid w:val="006D320E"/>
    <w:rsid w:val="006D6F08"/>
    <w:rsid w:val="006D7953"/>
    <w:rsid w:val="006D7FC4"/>
    <w:rsid w:val="006E062C"/>
    <w:rsid w:val="006E08DF"/>
    <w:rsid w:val="006E183C"/>
    <w:rsid w:val="006E1C82"/>
    <w:rsid w:val="006E28B7"/>
    <w:rsid w:val="006E2A9B"/>
    <w:rsid w:val="006E3310"/>
    <w:rsid w:val="006E36A1"/>
    <w:rsid w:val="006E4B7C"/>
    <w:rsid w:val="006E4E39"/>
    <w:rsid w:val="006E565E"/>
    <w:rsid w:val="006E5C09"/>
    <w:rsid w:val="006E673D"/>
    <w:rsid w:val="006E7D3B"/>
    <w:rsid w:val="006F1A6D"/>
    <w:rsid w:val="006F1B70"/>
    <w:rsid w:val="006F341D"/>
    <w:rsid w:val="006F3CDE"/>
    <w:rsid w:val="006F3E16"/>
    <w:rsid w:val="006F58D4"/>
    <w:rsid w:val="006F6582"/>
    <w:rsid w:val="00701D4A"/>
    <w:rsid w:val="007031AE"/>
    <w:rsid w:val="0070346E"/>
    <w:rsid w:val="00704EDB"/>
    <w:rsid w:val="00706101"/>
    <w:rsid w:val="00706132"/>
    <w:rsid w:val="00707072"/>
    <w:rsid w:val="00707D61"/>
    <w:rsid w:val="007117E3"/>
    <w:rsid w:val="00712287"/>
    <w:rsid w:val="00712772"/>
    <w:rsid w:val="007129CB"/>
    <w:rsid w:val="00712A9E"/>
    <w:rsid w:val="00713B03"/>
    <w:rsid w:val="007140E5"/>
    <w:rsid w:val="007148D3"/>
    <w:rsid w:val="00714E9D"/>
    <w:rsid w:val="00715B9A"/>
    <w:rsid w:val="00715EB1"/>
    <w:rsid w:val="0071682E"/>
    <w:rsid w:val="007171CB"/>
    <w:rsid w:val="007234F1"/>
    <w:rsid w:val="00725422"/>
    <w:rsid w:val="007257D0"/>
    <w:rsid w:val="0072603B"/>
    <w:rsid w:val="00726EA6"/>
    <w:rsid w:val="00727208"/>
    <w:rsid w:val="007272AE"/>
    <w:rsid w:val="00727680"/>
    <w:rsid w:val="007317D1"/>
    <w:rsid w:val="0073313D"/>
    <w:rsid w:val="00733C4D"/>
    <w:rsid w:val="00733FD0"/>
    <w:rsid w:val="007348B1"/>
    <w:rsid w:val="00735D18"/>
    <w:rsid w:val="007362A6"/>
    <w:rsid w:val="00736411"/>
    <w:rsid w:val="00736D7D"/>
    <w:rsid w:val="00737468"/>
    <w:rsid w:val="00740018"/>
    <w:rsid w:val="00740E58"/>
    <w:rsid w:val="007435F5"/>
    <w:rsid w:val="007445A0"/>
    <w:rsid w:val="0074524B"/>
    <w:rsid w:val="00747D8B"/>
    <w:rsid w:val="007501FB"/>
    <w:rsid w:val="00751228"/>
    <w:rsid w:val="00752E43"/>
    <w:rsid w:val="007571E1"/>
    <w:rsid w:val="00757D90"/>
    <w:rsid w:val="007604B2"/>
    <w:rsid w:val="007604EF"/>
    <w:rsid w:val="007605D6"/>
    <w:rsid w:val="007610F5"/>
    <w:rsid w:val="0076113E"/>
    <w:rsid w:val="0076143E"/>
    <w:rsid w:val="00764EE5"/>
    <w:rsid w:val="00765281"/>
    <w:rsid w:val="00765C5F"/>
    <w:rsid w:val="00766BAD"/>
    <w:rsid w:val="00770D10"/>
    <w:rsid w:val="007729A2"/>
    <w:rsid w:val="00772C36"/>
    <w:rsid w:val="007755F2"/>
    <w:rsid w:val="00776971"/>
    <w:rsid w:val="007774D0"/>
    <w:rsid w:val="00780A80"/>
    <w:rsid w:val="0078177E"/>
    <w:rsid w:val="0078304C"/>
    <w:rsid w:val="00783673"/>
    <w:rsid w:val="00783A2C"/>
    <w:rsid w:val="00785490"/>
    <w:rsid w:val="007914B3"/>
    <w:rsid w:val="00791833"/>
    <w:rsid w:val="007925EA"/>
    <w:rsid w:val="00793485"/>
    <w:rsid w:val="00793CD8"/>
    <w:rsid w:val="00795C92"/>
    <w:rsid w:val="00795DEB"/>
    <w:rsid w:val="00796231"/>
    <w:rsid w:val="007962CB"/>
    <w:rsid w:val="00796956"/>
    <w:rsid w:val="007A13BF"/>
    <w:rsid w:val="007A1CB3"/>
    <w:rsid w:val="007A306F"/>
    <w:rsid w:val="007A43A6"/>
    <w:rsid w:val="007A4F16"/>
    <w:rsid w:val="007A58A6"/>
    <w:rsid w:val="007B0AB3"/>
    <w:rsid w:val="007B1899"/>
    <w:rsid w:val="007B220A"/>
    <w:rsid w:val="007B3D2D"/>
    <w:rsid w:val="007B50AE"/>
    <w:rsid w:val="007B51DF"/>
    <w:rsid w:val="007B6AF2"/>
    <w:rsid w:val="007C05DD"/>
    <w:rsid w:val="007C0E3D"/>
    <w:rsid w:val="007C1899"/>
    <w:rsid w:val="007C3D18"/>
    <w:rsid w:val="007C57F4"/>
    <w:rsid w:val="007C60BF"/>
    <w:rsid w:val="007C6A07"/>
    <w:rsid w:val="007C75A1"/>
    <w:rsid w:val="007C77A5"/>
    <w:rsid w:val="007D0416"/>
    <w:rsid w:val="007D04E5"/>
    <w:rsid w:val="007D078F"/>
    <w:rsid w:val="007D3BE6"/>
    <w:rsid w:val="007D3DDC"/>
    <w:rsid w:val="007D5747"/>
    <w:rsid w:val="007D5901"/>
    <w:rsid w:val="007D7526"/>
    <w:rsid w:val="007D754C"/>
    <w:rsid w:val="007D7B9D"/>
    <w:rsid w:val="007E083E"/>
    <w:rsid w:val="007E194E"/>
    <w:rsid w:val="007E1C66"/>
    <w:rsid w:val="007E25EA"/>
    <w:rsid w:val="007E4610"/>
    <w:rsid w:val="007E4715"/>
    <w:rsid w:val="007E505B"/>
    <w:rsid w:val="007E5A29"/>
    <w:rsid w:val="007E67EE"/>
    <w:rsid w:val="007E7091"/>
    <w:rsid w:val="007E731B"/>
    <w:rsid w:val="007F1398"/>
    <w:rsid w:val="007F53E7"/>
    <w:rsid w:val="007F6ADA"/>
    <w:rsid w:val="008039E6"/>
    <w:rsid w:val="00803FAE"/>
    <w:rsid w:val="00805D71"/>
    <w:rsid w:val="0080605F"/>
    <w:rsid w:val="00807786"/>
    <w:rsid w:val="00811FCB"/>
    <w:rsid w:val="0081328B"/>
    <w:rsid w:val="00814006"/>
    <w:rsid w:val="008158D6"/>
    <w:rsid w:val="0081618A"/>
    <w:rsid w:val="00817196"/>
    <w:rsid w:val="008235DB"/>
    <w:rsid w:val="00824A2F"/>
    <w:rsid w:val="00824AB4"/>
    <w:rsid w:val="008252D3"/>
    <w:rsid w:val="00825C42"/>
    <w:rsid w:val="00825D25"/>
    <w:rsid w:val="00826BCE"/>
    <w:rsid w:val="00827D6F"/>
    <w:rsid w:val="00833B02"/>
    <w:rsid w:val="00835770"/>
    <w:rsid w:val="008376AC"/>
    <w:rsid w:val="00840B74"/>
    <w:rsid w:val="00841089"/>
    <w:rsid w:val="00843099"/>
    <w:rsid w:val="0084348F"/>
    <w:rsid w:val="008436F2"/>
    <w:rsid w:val="00843EF5"/>
    <w:rsid w:val="008444E8"/>
    <w:rsid w:val="008449E0"/>
    <w:rsid w:val="00844CD2"/>
    <w:rsid w:val="00844E80"/>
    <w:rsid w:val="00845C55"/>
    <w:rsid w:val="00846B0D"/>
    <w:rsid w:val="00846FE7"/>
    <w:rsid w:val="0084718F"/>
    <w:rsid w:val="00851CFA"/>
    <w:rsid w:val="0085205E"/>
    <w:rsid w:val="00852E3F"/>
    <w:rsid w:val="008536AF"/>
    <w:rsid w:val="00853B4A"/>
    <w:rsid w:val="00855382"/>
    <w:rsid w:val="008561EE"/>
    <w:rsid w:val="00856911"/>
    <w:rsid w:val="0086049E"/>
    <w:rsid w:val="008618B1"/>
    <w:rsid w:val="00864349"/>
    <w:rsid w:val="00864A58"/>
    <w:rsid w:val="00865799"/>
    <w:rsid w:val="008677FD"/>
    <w:rsid w:val="00867D80"/>
    <w:rsid w:val="008706D4"/>
    <w:rsid w:val="00870F8A"/>
    <w:rsid w:val="008719A4"/>
    <w:rsid w:val="00871D23"/>
    <w:rsid w:val="008726B1"/>
    <w:rsid w:val="00874312"/>
    <w:rsid w:val="0087437C"/>
    <w:rsid w:val="00875CD7"/>
    <w:rsid w:val="00876B2B"/>
    <w:rsid w:val="00876B4D"/>
    <w:rsid w:val="00876F21"/>
    <w:rsid w:val="00877F18"/>
    <w:rsid w:val="008828A2"/>
    <w:rsid w:val="00883350"/>
    <w:rsid w:val="00883785"/>
    <w:rsid w:val="0088695E"/>
    <w:rsid w:val="00886E66"/>
    <w:rsid w:val="00887947"/>
    <w:rsid w:val="00887F83"/>
    <w:rsid w:val="008930A5"/>
    <w:rsid w:val="008941E3"/>
    <w:rsid w:val="00894A88"/>
    <w:rsid w:val="00895386"/>
    <w:rsid w:val="00896870"/>
    <w:rsid w:val="0089763B"/>
    <w:rsid w:val="008977C4"/>
    <w:rsid w:val="008A074F"/>
    <w:rsid w:val="008A134B"/>
    <w:rsid w:val="008A15E9"/>
    <w:rsid w:val="008A21FF"/>
    <w:rsid w:val="008A2CE2"/>
    <w:rsid w:val="008A30AC"/>
    <w:rsid w:val="008A44B8"/>
    <w:rsid w:val="008A51A8"/>
    <w:rsid w:val="008A54C7"/>
    <w:rsid w:val="008A54FE"/>
    <w:rsid w:val="008A6343"/>
    <w:rsid w:val="008A698D"/>
    <w:rsid w:val="008A75A8"/>
    <w:rsid w:val="008A77D8"/>
    <w:rsid w:val="008B0483"/>
    <w:rsid w:val="008B120C"/>
    <w:rsid w:val="008B3EC7"/>
    <w:rsid w:val="008B51A0"/>
    <w:rsid w:val="008B592A"/>
    <w:rsid w:val="008B6BD0"/>
    <w:rsid w:val="008B6C82"/>
    <w:rsid w:val="008B7B5C"/>
    <w:rsid w:val="008C0C99"/>
    <w:rsid w:val="008C1105"/>
    <w:rsid w:val="008C2017"/>
    <w:rsid w:val="008C2250"/>
    <w:rsid w:val="008C3007"/>
    <w:rsid w:val="008C3E1C"/>
    <w:rsid w:val="008C4958"/>
    <w:rsid w:val="008C4BAA"/>
    <w:rsid w:val="008C4C02"/>
    <w:rsid w:val="008C4D12"/>
    <w:rsid w:val="008C59CA"/>
    <w:rsid w:val="008C6AE8"/>
    <w:rsid w:val="008C6D9D"/>
    <w:rsid w:val="008C7573"/>
    <w:rsid w:val="008D00A5"/>
    <w:rsid w:val="008D19D0"/>
    <w:rsid w:val="008D34F1"/>
    <w:rsid w:val="008D383A"/>
    <w:rsid w:val="008D3840"/>
    <w:rsid w:val="008D39D8"/>
    <w:rsid w:val="008D4AAD"/>
    <w:rsid w:val="008D4D9D"/>
    <w:rsid w:val="008D5229"/>
    <w:rsid w:val="008D6D1A"/>
    <w:rsid w:val="008E065E"/>
    <w:rsid w:val="008E0927"/>
    <w:rsid w:val="008E1909"/>
    <w:rsid w:val="008E3A31"/>
    <w:rsid w:val="008E49C5"/>
    <w:rsid w:val="008E6337"/>
    <w:rsid w:val="008F1C4E"/>
    <w:rsid w:val="008F1EAB"/>
    <w:rsid w:val="008F334B"/>
    <w:rsid w:val="008F33DC"/>
    <w:rsid w:val="008F477F"/>
    <w:rsid w:val="008F4EBC"/>
    <w:rsid w:val="008F7187"/>
    <w:rsid w:val="00902350"/>
    <w:rsid w:val="00902CAF"/>
    <w:rsid w:val="0090336B"/>
    <w:rsid w:val="009039D3"/>
    <w:rsid w:val="00904DFD"/>
    <w:rsid w:val="009053AA"/>
    <w:rsid w:val="00906939"/>
    <w:rsid w:val="00910B7D"/>
    <w:rsid w:val="00911DFB"/>
    <w:rsid w:val="009139D9"/>
    <w:rsid w:val="009146CC"/>
    <w:rsid w:val="00914AD8"/>
    <w:rsid w:val="00916079"/>
    <w:rsid w:val="00917CE9"/>
    <w:rsid w:val="00920BF2"/>
    <w:rsid w:val="00921463"/>
    <w:rsid w:val="009217FE"/>
    <w:rsid w:val="00922010"/>
    <w:rsid w:val="00923C04"/>
    <w:rsid w:val="00925BA0"/>
    <w:rsid w:val="00926CA2"/>
    <w:rsid w:val="009303CE"/>
    <w:rsid w:val="00930B3F"/>
    <w:rsid w:val="00930E0D"/>
    <w:rsid w:val="00931BD9"/>
    <w:rsid w:val="00933745"/>
    <w:rsid w:val="009343ED"/>
    <w:rsid w:val="0093468F"/>
    <w:rsid w:val="009368F3"/>
    <w:rsid w:val="00941636"/>
    <w:rsid w:val="00942831"/>
    <w:rsid w:val="0094355C"/>
    <w:rsid w:val="00943742"/>
    <w:rsid w:val="009458BD"/>
    <w:rsid w:val="009458EC"/>
    <w:rsid w:val="00945C05"/>
    <w:rsid w:val="00946945"/>
    <w:rsid w:val="00947713"/>
    <w:rsid w:val="00950DE7"/>
    <w:rsid w:val="00953920"/>
    <w:rsid w:val="00953D47"/>
    <w:rsid w:val="00955BFF"/>
    <w:rsid w:val="0095681E"/>
    <w:rsid w:val="009572D4"/>
    <w:rsid w:val="00957C66"/>
    <w:rsid w:val="00957F13"/>
    <w:rsid w:val="009605AB"/>
    <w:rsid w:val="00960C2E"/>
    <w:rsid w:val="00961921"/>
    <w:rsid w:val="009625F8"/>
    <w:rsid w:val="0096430A"/>
    <w:rsid w:val="0096554B"/>
    <w:rsid w:val="0096584A"/>
    <w:rsid w:val="009708A7"/>
    <w:rsid w:val="00970C60"/>
    <w:rsid w:val="00971F08"/>
    <w:rsid w:val="0097375E"/>
    <w:rsid w:val="0097603D"/>
    <w:rsid w:val="00976949"/>
    <w:rsid w:val="00977D3E"/>
    <w:rsid w:val="00980369"/>
    <w:rsid w:val="00980477"/>
    <w:rsid w:val="00982322"/>
    <w:rsid w:val="00985253"/>
    <w:rsid w:val="009853B3"/>
    <w:rsid w:val="00985AF9"/>
    <w:rsid w:val="00985E95"/>
    <w:rsid w:val="00990630"/>
    <w:rsid w:val="009916D9"/>
    <w:rsid w:val="00991761"/>
    <w:rsid w:val="00994DCA"/>
    <w:rsid w:val="00994F2F"/>
    <w:rsid w:val="009960EC"/>
    <w:rsid w:val="009970DD"/>
    <w:rsid w:val="009A0FBA"/>
    <w:rsid w:val="009A1601"/>
    <w:rsid w:val="009A375C"/>
    <w:rsid w:val="009A3BB6"/>
    <w:rsid w:val="009A462D"/>
    <w:rsid w:val="009A5CBA"/>
    <w:rsid w:val="009B1F30"/>
    <w:rsid w:val="009B2D8E"/>
    <w:rsid w:val="009B3AC2"/>
    <w:rsid w:val="009B3AF1"/>
    <w:rsid w:val="009B4DF4"/>
    <w:rsid w:val="009B564E"/>
    <w:rsid w:val="009B7E87"/>
    <w:rsid w:val="009C0169"/>
    <w:rsid w:val="009C403E"/>
    <w:rsid w:val="009D0394"/>
    <w:rsid w:val="009D27CE"/>
    <w:rsid w:val="009D4FF0"/>
    <w:rsid w:val="009D703C"/>
    <w:rsid w:val="009D718F"/>
    <w:rsid w:val="009D7EFA"/>
    <w:rsid w:val="009E068F"/>
    <w:rsid w:val="009E10E6"/>
    <w:rsid w:val="009E14E0"/>
    <w:rsid w:val="009E35DB"/>
    <w:rsid w:val="009E47A3"/>
    <w:rsid w:val="009E535A"/>
    <w:rsid w:val="009E554C"/>
    <w:rsid w:val="009E71EE"/>
    <w:rsid w:val="009F06A5"/>
    <w:rsid w:val="009F08F3"/>
    <w:rsid w:val="009F0BD5"/>
    <w:rsid w:val="009F1C18"/>
    <w:rsid w:val="009F344F"/>
    <w:rsid w:val="009F6D6E"/>
    <w:rsid w:val="00A0104A"/>
    <w:rsid w:val="00A01C1D"/>
    <w:rsid w:val="00A02A3C"/>
    <w:rsid w:val="00A031D8"/>
    <w:rsid w:val="00A046A4"/>
    <w:rsid w:val="00A048A8"/>
    <w:rsid w:val="00A04F49"/>
    <w:rsid w:val="00A106D1"/>
    <w:rsid w:val="00A11F28"/>
    <w:rsid w:val="00A11F50"/>
    <w:rsid w:val="00A1311D"/>
    <w:rsid w:val="00A13E54"/>
    <w:rsid w:val="00A1400F"/>
    <w:rsid w:val="00A149EF"/>
    <w:rsid w:val="00A17E88"/>
    <w:rsid w:val="00A17F63"/>
    <w:rsid w:val="00A2012F"/>
    <w:rsid w:val="00A2193B"/>
    <w:rsid w:val="00A2268A"/>
    <w:rsid w:val="00A229ED"/>
    <w:rsid w:val="00A22D73"/>
    <w:rsid w:val="00A2351A"/>
    <w:rsid w:val="00A264A9"/>
    <w:rsid w:val="00A26DCF"/>
    <w:rsid w:val="00A27361"/>
    <w:rsid w:val="00A27785"/>
    <w:rsid w:val="00A30187"/>
    <w:rsid w:val="00A30334"/>
    <w:rsid w:val="00A30A89"/>
    <w:rsid w:val="00A30DCD"/>
    <w:rsid w:val="00A33CA6"/>
    <w:rsid w:val="00A3448A"/>
    <w:rsid w:val="00A36297"/>
    <w:rsid w:val="00A36596"/>
    <w:rsid w:val="00A37A93"/>
    <w:rsid w:val="00A4008C"/>
    <w:rsid w:val="00A40170"/>
    <w:rsid w:val="00A40E9A"/>
    <w:rsid w:val="00A41E2B"/>
    <w:rsid w:val="00A41F05"/>
    <w:rsid w:val="00A4213D"/>
    <w:rsid w:val="00A4216A"/>
    <w:rsid w:val="00A43E6D"/>
    <w:rsid w:val="00A45B74"/>
    <w:rsid w:val="00A501FA"/>
    <w:rsid w:val="00A507BC"/>
    <w:rsid w:val="00A5136C"/>
    <w:rsid w:val="00A529F5"/>
    <w:rsid w:val="00A52E1D"/>
    <w:rsid w:val="00A5343C"/>
    <w:rsid w:val="00A54296"/>
    <w:rsid w:val="00A61499"/>
    <w:rsid w:val="00A62A77"/>
    <w:rsid w:val="00A62C0F"/>
    <w:rsid w:val="00A6320E"/>
    <w:rsid w:val="00A63483"/>
    <w:rsid w:val="00A657D7"/>
    <w:rsid w:val="00A660AC"/>
    <w:rsid w:val="00A66E8D"/>
    <w:rsid w:val="00A67E6C"/>
    <w:rsid w:val="00A71B99"/>
    <w:rsid w:val="00A72754"/>
    <w:rsid w:val="00A739D0"/>
    <w:rsid w:val="00A761D4"/>
    <w:rsid w:val="00A768F5"/>
    <w:rsid w:val="00A77EC4"/>
    <w:rsid w:val="00A83100"/>
    <w:rsid w:val="00A8589C"/>
    <w:rsid w:val="00A865AE"/>
    <w:rsid w:val="00A90AAE"/>
    <w:rsid w:val="00A92879"/>
    <w:rsid w:val="00A93B59"/>
    <w:rsid w:val="00A9442A"/>
    <w:rsid w:val="00A95D4D"/>
    <w:rsid w:val="00AA016F"/>
    <w:rsid w:val="00AA1ED6"/>
    <w:rsid w:val="00AA4D03"/>
    <w:rsid w:val="00AA51D6"/>
    <w:rsid w:val="00AA635B"/>
    <w:rsid w:val="00AB0BC8"/>
    <w:rsid w:val="00AB11CA"/>
    <w:rsid w:val="00AB14D9"/>
    <w:rsid w:val="00AB210A"/>
    <w:rsid w:val="00AB21C0"/>
    <w:rsid w:val="00AB24DF"/>
    <w:rsid w:val="00AB4AB8"/>
    <w:rsid w:val="00AB4D8E"/>
    <w:rsid w:val="00AB655E"/>
    <w:rsid w:val="00AB7BC8"/>
    <w:rsid w:val="00AC007F"/>
    <w:rsid w:val="00AC1434"/>
    <w:rsid w:val="00AC2546"/>
    <w:rsid w:val="00AC2ECD"/>
    <w:rsid w:val="00AC3119"/>
    <w:rsid w:val="00AC49FB"/>
    <w:rsid w:val="00AC5A10"/>
    <w:rsid w:val="00AC6B33"/>
    <w:rsid w:val="00AC7032"/>
    <w:rsid w:val="00AC7A9B"/>
    <w:rsid w:val="00AC7C47"/>
    <w:rsid w:val="00AD0572"/>
    <w:rsid w:val="00AD074C"/>
    <w:rsid w:val="00AD079A"/>
    <w:rsid w:val="00AD0AA3"/>
    <w:rsid w:val="00AD2ED0"/>
    <w:rsid w:val="00AD2F9E"/>
    <w:rsid w:val="00AD3F94"/>
    <w:rsid w:val="00AD4A5A"/>
    <w:rsid w:val="00AD4B6A"/>
    <w:rsid w:val="00AD5163"/>
    <w:rsid w:val="00AE27AC"/>
    <w:rsid w:val="00AE40E0"/>
    <w:rsid w:val="00AE4DBA"/>
    <w:rsid w:val="00AE4F07"/>
    <w:rsid w:val="00AE5868"/>
    <w:rsid w:val="00AE59AE"/>
    <w:rsid w:val="00AF0CE3"/>
    <w:rsid w:val="00AF1C5D"/>
    <w:rsid w:val="00AF2EE3"/>
    <w:rsid w:val="00AF2FE8"/>
    <w:rsid w:val="00AF42C4"/>
    <w:rsid w:val="00AF42D7"/>
    <w:rsid w:val="00B006FE"/>
    <w:rsid w:val="00B007CB"/>
    <w:rsid w:val="00B02609"/>
    <w:rsid w:val="00B02AA9"/>
    <w:rsid w:val="00B02DF3"/>
    <w:rsid w:val="00B02FA3"/>
    <w:rsid w:val="00B039D8"/>
    <w:rsid w:val="00B05084"/>
    <w:rsid w:val="00B05186"/>
    <w:rsid w:val="00B05B1D"/>
    <w:rsid w:val="00B05C6A"/>
    <w:rsid w:val="00B076E0"/>
    <w:rsid w:val="00B1149F"/>
    <w:rsid w:val="00B14120"/>
    <w:rsid w:val="00B157F9"/>
    <w:rsid w:val="00B17803"/>
    <w:rsid w:val="00B20256"/>
    <w:rsid w:val="00B20D09"/>
    <w:rsid w:val="00B2174C"/>
    <w:rsid w:val="00B21F27"/>
    <w:rsid w:val="00B2763F"/>
    <w:rsid w:val="00B27AAC"/>
    <w:rsid w:val="00B30929"/>
    <w:rsid w:val="00B32AEF"/>
    <w:rsid w:val="00B36A7A"/>
    <w:rsid w:val="00B36F3D"/>
    <w:rsid w:val="00B372AA"/>
    <w:rsid w:val="00B3738A"/>
    <w:rsid w:val="00B37563"/>
    <w:rsid w:val="00B3791E"/>
    <w:rsid w:val="00B40445"/>
    <w:rsid w:val="00B405C9"/>
    <w:rsid w:val="00B409E0"/>
    <w:rsid w:val="00B40FC3"/>
    <w:rsid w:val="00B41435"/>
    <w:rsid w:val="00B41888"/>
    <w:rsid w:val="00B4313E"/>
    <w:rsid w:val="00B43A6F"/>
    <w:rsid w:val="00B44630"/>
    <w:rsid w:val="00B45A52"/>
    <w:rsid w:val="00B45BF8"/>
    <w:rsid w:val="00B45E11"/>
    <w:rsid w:val="00B46175"/>
    <w:rsid w:val="00B50186"/>
    <w:rsid w:val="00B50864"/>
    <w:rsid w:val="00B5151C"/>
    <w:rsid w:val="00B53A10"/>
    <w:rsid w:val="00B54296"/>
    <w:rsid w:val="00B548B7"/>
    <w:rsid w:val="00B5644D"/>
    <w:rsid w:val="00B567B0"/>
    <w:rsid w:val="00B57515"/>
    <w:rsid w:val="00B602D6"/>
    <w:rsid w:val="00B62490"/>
    <w:rsid w:val="00B628AD"/>
    <w:rsid w:val="00B64C54"/>
    <w:rsid w:val="00B664C7"/>
    <w:rsid w:val="00B66D59"/>
    <w:rsid w:val="00B674D3"/>
    <w:rsid w:val="00B71C8E"/>
    <w:rsid w:val="00B739F6"/>
    <w:rsid w:val="00B74756"/>
    <w:rsid w:val="00B7783A"/>
    <w:rsid w:val="00B81A6C"/>
    <w:rsid w:val="00B81FA3"/>
    <w:rsid w:val="00B82F2B"/>
    <w:rsid w:val="00B83A27"/>
    <w:rsid w:val="00B83F10"/>
    <w:rsid w:val="00B85DE5"/>
    <w:rsid w:val="00B86125"/>
    <w:rsid w:val="00B90F73"/>
    <w:rsid w:val="00B93B59"/>
    <w:rsid w:val="00B93EA6"/>
    <w:rsid w:val="00B9406A"/>
    <w:rsid w:val="00B949A5"/>
    <w:rsid w:val="00B97A58"/>
    <w:rsid w:val="00B97B5A"/>
    <w:rsid w:val="00BA1E55"/>
    <w:rsid w:val="00BA2280"/>
    <w:rsid w:val="00BA2539"/>
    <w:rsid w:val="00BA2A08"/>
    <w:rsid w:val="00BA434A"/>
    <w:rsid w:val="00BA4778"/>
    <w:rsid w:val="00BA56D2"/>
    <w:rsid w:val="00BA76E0"/>
    <w:rsid w:val="00BB2A25"/>
    <w:rsid w:val="00BB40FF"/>
    <w:rsid w:val="00BB51E9"/>
    <w:rsid w:val="00BB5B0C"/>
    <w:rsid w:val="00BB64BD"/>
    <w:rsid w:val="00BB7569"/>
    <w:rsid w:val="00BC0101"/>
    <w:rsid w:val="00BC0FDC"/>
    <w:rsid w:val="00BC2C26"/>
    <w:rsid w:val="00BC2DCA"/>
    <w:rsid w:val="00BC2F5B"/>
    <w:rsid w:val="00BC3053"/>
    <w:rsid w:val="00BC4D2E"/>
    <w:rsid w:val="00BC62C0"/>
    <w:rsid w:val="00BD3218"/>
    <w:rsid w:val="00BD48AC"/>
    <w:rsid w:val="00BD508A"/>
    <w:rsid w:val="00BD5F1A"/>
    <w:rsid w:val="00BE1234"/>
    <w:rsid w:val="00BE2FA6"/>
    <w:rsid w:val="00BE333F"/>
    <w:rsid w:val="00BE42E9"/>
    <w:rsid w:val="00BE7406"/>
    <w:rsid w:val="00BE7438"/>
    <w:rsid w:val="00BE7603"/>
    <w:rsid w:val="00BE7DFD"/>
    <w:rsid w:val="00BF03E8"/>
    <w:rsid w:val="00BF0724"/>
    <w:rsid w:val="00BF1230"/>
    <w:rsid w:val="00BF1CEF"/>
    <w:rsid w:val="00BF3279"/>
    <w:rsid w:val="00BF74C7"/>
    <w:rsid w:val="00C015F1"/>
    <w:rsid w:val="00C01F33"/>
    <w:rsid w:val="00C02CC6"/>
    <w:rsid w:val="00C040F7"/>
    <w:rsid w:val="00C044AB"/>
    <w:rsid w:val="00C05706"/>
    <w:rsid w:val="00C0719F"/>
    <w:rsid w:val="00C07377"/>
    <w:rsid w:val="00C10478"/>
    <w:rsid w:val="00C12107"/>
    <w:rsid w:val="00C14D4B"/>
    <w:rsid w:val="00C154BB"/>
    <w:rsid w:val="00C15D5F"/>
    <w:rsid w:val="00C17EDA"/>
    <w:rsid w:val="00C21261"/>
    <w:rsid w:val="00C23BBF"/>
    <w:rsid w:val="00C25467"/>
    <w:rsid w:val="00C279B5"/>
    <w:rsid w:val="00C27C45"/>
    <w:rsid w:val="00C32350"/>
    <w:rsid w:val="00C3719D"/>
    <w:rsid w:val="00C37CB2"/>
    <w:rsid w:val="00C4316F"/>
    <w:rsid w:val="00C43352"/>
    <w:rsid w:val="00C473A5"/>
    <w:rsid w:val="00C5419E"/>
    <w:rsid w:val="00C54995"/>
    <w:rsid w:val="00C54B41"/>
    <w:rsid w:val="00C54D41"/>
    <w:rsid w:val="00C55428"/>
    <w:rsid w:val="00C60093"/>
    <w:rsid w:val="00C60783"/>
    <w:rsid w:val="00C61DA2"/>
    <w:rsid w:val="00C624C8"/>
    <w:rsid w:val="00C63B23"/>
    <w:rsid w:val="00C64672"/>
    <w:rsid w:val="00C6763B"/>
    <w:rsid w:val="00C70397"/>
    <w:rsid w:val="00C70697"/>
    <w:rsid w:val="00C70722"/>
    <w:rsid w:val="00C72093"/>
    <w:rsid w:val="00C72EF4"/>
    <w:rsid w:val="00C7315A"/>
    <w:rsid w:val="00C73D30"/>
    <w:rsid w:val="00C744FE"/>
    <w:rsid w:val="00C7452B"/>
    <w:rsid w:val="00C75D2F"/>
    <w:rsid w:val="00C767BE"/>
    <w:rsid w:val="00C76E3C"/>
    <w:rsid w:val="00C81568"/>
    <w:rsid w:val="00C82CCF"/>
    <w:rsid w:val="00C836D8"/>
    <w:rsid w:val="00C9027A"/>
    <w:rsid w:val="00C9068E"/>
    <w:rsid w:val="00C91934"/>
    <w:rsid w:val="00C93814"/>
    <w:rsid w:val="00C939D4"/>
    <w:rsid w:val="00C93A10"/>
    <w:rsid w:val="00C93C4B"/>
    <w:rsid w:val="00C9449D"/>
    <w:rsid w:val="00C944AB"/>
    <w:rsid w:val="00C95B40"/>
    <w:rsid w:val="00C97EBF"/>
    <w:rsid w:val="00CA0D3A"/>
    <w:rsid w:val="00CA0E56"/>
    <w:rsid w:val="00CA1668"/>
    <w:rsid w:val="00CA1ED8"/>
    <w:rsid w:val="00CA2354"/>
    <w:rsid w:val="00CA491C"/>
    <w:rsid w:val="00CA6369"/>
    <w:rsid w:val="00CA779C"/>
    <w:rsid w:val="00CB1205"/>
    <w:rsid w:val="00CB1F63"/>
    <w:rsid w:val="00CB2503"/>
    <w:rsid w:val="00CB3AFC"/>
    <w:rsid w:val="00CB3C5C"/>
    <w:rsid w:val="00CB4BC8"/>
    <w:rsid w:val="00CB50CE"/>
    <w:rsid w:val="00CB7170"/>
    <w:rsid w:val="00CB7DA6"/>
    <w:rsid w:val="00CC040E"/>
    <w:rsid w:val="00CC111F"/>
    <w:rsid w:val="00CC1245"/>
    <w:rsid w:val="00CC2011"/>
    <w:rsid w:val="00CC3EA0"/>
    <w:rsid w:val="00CC77E6"/>
    <w:rsid w:val="00CC7979"/>
    <w:rsid w:val="00CC7B45"/>
    <w:rsid w:val="00CD0448"/>
    <w:rsid w:val="00CD1188"/>
    <w:rsid w:val="00CD24CA"/>
    <w:rsid w:val="00CD2ED1"/>
    <w:rsid w:val="00CD337B"/>
    <w:rsid w:val="00CD48BF"/>
    <w:rsid w:val="00CD5CD9"/>
    <w:rsid w:val="00CE0424"/>
    <w:rsid w:val="00CE0BF7"/>
    <w:rsid w:val="00CE45CD"/>
    <w:rsid w:val="00CE4B72"/>
    <w:rsid w:val="00CE50CF"/>
    <w:rsid w:val="00CE52AE"/>
    <w:rsid w:val="00CE6FF5"/>
    <w:rsid w:val="00CE7561"/>
    <w:rsid w:val="00CE7EE4"/>
    <w:rsid w:val="00CF08A4"/>
    <w:rsid w:val="00CF1354"/>
    <w:rsid w:val="00CF3B1F"/>
    <w:rsid w:val="00CF3B69"/>
    <w:rsid w:val="00CF3BF6"/>
    <w:rsid w:val="00CF3F81"/>
    <w:rsid w:val="00CF47E8"/>
    <w:rsid w:val="00CF625B"/>
    <w:rsid w:val="00CF640B"/>
    <w:rsid w:val="00CF687E"/>
    <w:rsid w:val="00D0056A"/>
    <w:rsid w:val="00D0256F"/>
    <w:rsid w:val="00D0349B"/>
    <w:rsid w:val="00D03922"/>
    <w:rsid w:val="00D066C7"/>
    <w:rsid w:val="00D10249"/>
    <w:rsid w:val="00D115C3"/>
    <w:rsid w:val="00D11897"/>
    <w:rsid w:val="00D12B9D"/>
    <w:rsid w:val="00D13135"/>
    <w:rsid w:val="00D133AF"/>
    <w:rsid w:val="00D13E4E"/>
    <w:rsid w:val="00D1444E"/>
    <w:rsid w:val="00D1534B"/>
    <w:rsid w:val="00D20B95"/>
    <w:rsid w:val="00D20D86"/>
    <w:rsid w:val="00D21882"/>
    <w:rsid w:val="00D232A9"/>
    <w:rsid w:val="00D239A7"/>
    <w:rsid w:val="00D23F47"/>
    <w:rsid w:val="00D252F0"/>
    <w:rsid w:val="00D2706D"/>
    <w:rsid w:val="00D27401"/>
    <w:rsid w:val="00D30644"/>
    <w:rsid w:val="00D308C9"/>
    <w:rsid w:val="00D3341B"/>
    <w:rsid w:val="00D36E71"/>
    <w:rsid w:val="00D376CF"/>
    <w:rsid w:val="00D37D87"/>
    <w:rsid w:val="00D40B33"/>
    <w:rsid w:val="00D4318F"/>
    <w:rsid w:val="00D438BF"/>
    <w:rsid w:val="00D440F8"/>
    <w:rsid w:val="00D44431"/>
    <w:rsid w:val="00D47F23"/>
    <w:rsid w:val="00D50AA0"/>
    <w:rsid w:val="00D51E1A"/>
    <w:rsid w:val="00D527FB"/>
    <w:rsid w:val="00D546FF"/>
    <w:rsid w:val="00D55AD5"/>
    <w:rsid w:val="00D55FD1"/>
    <w:rsid w:val="00D576CA"/>
    <w:rsid w:val="00D61AF5"/>
    <w:rsid w:val="00D6223C"/>
    <w:rsid w:val="00D62A3C"/>
    <w:rsid w:val="00D62CDB"/>
    <w:rsid w:val="00D652B5"/>
    <w:rsid w:val="00D66155"/>
    <w:rsid w:val="00D6725F"/>
    <w:rsid w:val="00D67741"/>
    <w:rsid w:val="00D67D33"/>
    <w:rsid w:val="00D708B0"/>
    <w:rsid w:val="00D70FD8"/>
    <w:rsid w:val="00D7121A"/>
    <w:rsid w:val="00D7281A"/>
    <w:rsid w:val="00D7461F"/>
    <w:rsid w:val="00D77B1D"/>
    <w:rsid w:val="00D8021F"/>
    <w:rsid w:val="00D80383"/>
    <w:rsid w:val="00D823C6"/>
    <w:rsid w:val="00D82FFB"/>
    <w:rsid w:val="00D8327F"/>
    <w:rsid w:val="00D83449"/>
    <w:rsid w:val="00D84EB7"/>
    <w:rsid w:val="00D855D3"/>
    <w:rsid w:val="00D86CA3"/>
    <w:rsid w:val="00D871CE"/>
    <w:rsid w:val="00D90287"/>
    <w:rsid w:val="00D9196D"/>
    <w:rsid w:val="00D92067"/>
    <w:rsid w:val="00D92982"/>
    <w:rsid w:val="00D95785"/>
    <w:rsid w:val="00DA025F"/>
    <w:rsid w:val="00DA1465"/>
    <w:rsid w:val="00DA192E"/>
    <w:rsid w:val="00DA22A1"/>
    <w:rsid w:val="00DA28EC"/>
    <w:rsid w:val="00DA2AF0"/>
    <w:rsid w:val="00DA305E"/>
    <w:rsid w:val="00DA3DC8"/>
    <w:rsid w:val="00DA3DC9"/>
    <w:rsid w:val="00DA4E95"/>
    <w:rsid w:val="00DA5417"/>
    <w:rsid w:val="00DA56E8"/>
    <w:rsid w:val="00DA598F"/>
    <w:rsid w:val="00DA743D"/>
    <w:rsid w:val="00DA76A8"/>
    <w:rsid w:val="00DA7BF0"/>
    <w:rsid w:val="00DB0A9F"/>
    <w:rsid w:val="00DB106B"/>
    <w:rsid w:val="00DB14C1"/>
    <w:rsid w:val="00DB3592"/>
    <w:rsid w:val="00DB3720"/>
    <w:rsid w:val="00DB377D"/>
    <w:rsid w:val="00DC2D36"/>
    <w:rsid w:val="00DC3459"/>
    <w:rsid w:val="00DC53EF"/>
    <w:rsid w:val="00DC575B"/>
    <w:rsid w:val="00DC5810"/>
    <w:rsid w:val="00DC7337"/>
    <w:rsid w:val="00DD0B30"/>
    <w:rsid w:val="00DD1DA5"/>
    <w:rsid w:val="00DD3863"/>
    <w:rsid w:val="00DD597E"/>
    <w:rsid w:val="00DE131F"/>
    <w:rsid w:val="00DE49EE"/>
    <w:rsid w:val="00DE5608"/>
    <w:rsid w:val="00DE58D0"/>
    <w:rsid w:val="00DE654F"/>
    <w:rsid w:val="00DF01EA"/>
    <w:rsid w:val="00DF0B6E"/>
    <w:rsid w:val="00DF15E0"/>
    <w:rsid w:val="00DF316A"/>
    <w:rsid w:val="00DF37A0"/>
    <w:rsid w:val="00DF440B"/>
    <w:rsid w:val="00E035B9"/>
    <w:rsid w:val="00E062FA"/>
    <w:rsid w:val="00E10C44"/>
    <w:rsid w:val="00E110E7"/>
    <w:rsid w:val="00E11273"/>
    <w:rsid w:val="00E11B20"/>
    <w:rsid w:val="00E17FA2"/>
    <w:rsid w:val="00E21C3E"/>
    <w:rsid w:val="00E22330"/>
    <w:rsid w:val="00E229D5"/>
    <w:rsid w:val="00E244FA"/>
    <w:rsid w:val="00E25F46"/>
    <w:rsid w:val="00E30B5A"/>
    <w:rsid w:val="00E30D47"/>
    <w:rsid w:val="00E3123D"/>
    <w:rsid w:val="00E31461"/>
    <w:rsid w:val="00E31D43"/>
    <w:rsid w:val="00E32608"/>
    <w:rsid w:val="00E32E30"/>
    <w:rsid w:val="00E34188"/>
    <w:rsid w:val="00E344D3"/>
    <w:rsid w:val="00E34B6E"/>
    <w:rsid w:val="00E35559"/>
    <w:rsid w:val="00E35831"/>
    <w:rsid w:val="00E3599F"/>
    <w:rsid w:val="00E370AD"/>
    <w:rsid w:val="00E3723A"/>
    <w:rsid w:val="00E37860"/>
    <w:rsid w:val="00E42302"/>
    <w:rsid w:val="00E44286"/>
    <w:rsid w:val="00E446F1"/>
    <w:rsid w:val="00E45BCF"/>
    <w:rsid w:val="00E46886"/>
    <w:rsid w:val="00E46E7E"/>
    <w:rsid w:val="00E46EDE"/>
    <w:rsid w:val="00E47AEF"/>
    <w:rsid w:val="00E52781"/>
    <w:rsid w:val="00E53B75"/>
    <w:rsid w:val="00E54E3B"/>
    <w:rsid w:val="00E5545B"/>
    <w:rsid w:val="00E57565"/>
    <w:rsid w:val="00E6024A"/>
    <w:rsid w:val="00E63838"/>
    <w:rsid w:val="00E63BBA"/>
    <w:rsid w:val="00E64434"/>
    <w:rsid w:val="00E64C77"/>
    <w:rsid w:val="00E67C51"/>
    <w:rsid w:val="00E727B7"/>
    <w:rsid w:val="00E72EFC"/>
    <w:rsid w:val="00E736D6"/>
    <w:rsid w:val="00E758EC"/>
    <w:rsid w:val="00E75916"/>
    <w:rsid w:val="00E80ACA"/>
    <w:rsid w:val="00E821DE"/>
    <w:rsid w:val="00E8234C"/>
    <w:rsid w:val="00E83AA9"/>
    <w:rsid w:val="00E85654"/>
    <w:rsid w:val="00E85928"/>
    <w:rsid w:val="00E872F1"/>
    <w:rsid w:val="00E87822"/>
    <w:rsid w:val="00E90395"/>
    <w:rsid w:val="00E90E49"/>
    <w:rsid w:val="00E917F9"/>
    <w:rsid w:val="00E9291C"/>
    <w:rsid w:val="00E92E6B"/>
    <w:rsid w:val="00E93FC6"/>
    <w:rsid w:val="00E93FFE"/>
    <w:rsid w:val="00E94F8A"/>
    <w:rsid w:val="00E97123"/>
    <w:rsid w:val="00EA1229"/>
    <w:rsid w:val="00EA1835"/>
    <w:rsid w:val="00EA2209"/>
    <w:rsid w:val="00EA615A"/>
    <w:rsid w:val="00EA741F"/>
    <w:rsid w:val="00EA7A41"/>
    <w:rsid w:val="00EB077B"/>
    <w:rsid w:val="00EB33A2"/>
    <w:rsid w:val="00EB3B15"/>
    <w:rsid w:val="00EB4EA2"/>
    <w:rsid w:val="00EB6D87"/>
    <w:rsid w:val="00EB7AC2"/>
    <w:rsid w:val="00EC0AD6"/>
    <w:rsid w:val="00EC24D5"/>
    <w:rsid w:val="00EC27C6"/>
    <w:rsid w:val="00EC29AD"/>
    <w:rsid w:val="00EC378E"/>
    <w:rsid w:val="00EC4207"/>
    <w:rsid w:val="00EC5653"/>
    <w:rsid w:val="00EC6B83"/>
    <w:rsid w:val="00EC71CE"/>
    <w:rsid w:val="00ED1006"/>
    <w:rsid w:val="00ED13B2"/>
    <w:rsid w:val="00ED77EB"/>
    <w:rsid w:val="00ED7F88"/>
    <w:rsid w:val="00EE1DA8"/>
    <w:rsid w:val="00EE2729"/>
    <w:rsid w:val="00EE3873"/>
    <w:rsid w:val="00EE54F7"/>
    <w:rsid w:val="00EE6B0C"/>
    <w:rsid w:val="00EF1112"/>
    <w:rsid w:val="00EF18FE"/>
    <w:rsid w:val="00EF2461"/>
    <w:rsid w:val="00EF4D22"/>
    <w:rsid w:val="00EF4F6F"/>
    <w:rsid w:val="00EF5731"/>
    <w:rsid w:val="00EF5787"/>
    <w:rsid w:val="00EF60D0"/>
    <w:rsid w:val="00F00F62"/>
    <w:rsid w:val="00F01DB3"/>
    <w:rsid w:val="00F03DAF"/>
    <w:rsid w:val="00F05216"/>
    <w:rsid w:val="00F0528D"/>
    <w:rsid w:val="00F05713"/>
    <w:rsid w:val="00F06C67"/>
    <w:rsid w:val="00F06DFD"/>
    <w:rsid w:val="00F071D1"/>
    <w:rsid w:val="00F07533"/>
    <w:rsid w:val="00F07E07"/>
    <w:rsid w:val="00F10629"/>
    <w:rsid w:val="00F1420D"/>
    <w:rsid w:val="00F157F2"/>
    <w:rsid w:val="00F15CA1"/>
    <w:rsid w:val="00F15FA5"/>
    <w:rsid w:val="00F175A2"/>
    <w:rsid w:val="00F209B7"/>
    <w:rsid w:val="00F22355"/>
    <w:rsid w:val="00F22D7D"/>
    <w:rsid w:val="00F2376F"/>
    <w:rsid w:val="00F243D8"/>
    <w:rsid w:val="00F24A09"/>
    <w:rsid w:val="00F24C17"/>
    <w:rsid w:val="00F24F76"/>
    <w:rsid w:val="00F256D6"/>
    <w:rsid w:val="00F30828"/>
    <w:rsid w:val="00F3126E"/>
    <w:rsid w:val="00F313D6"/>
    <w:rsid w:val="00F3243B"/>
    <w:rsid w:val="00F376AE"/>
    <w:rsid w:val="00F40F0C"/>
    <w:rsid w:val="00F416C3"/>
    <w:rsid w:val="00F4766C"/>
    <w:rsid w:val="00F5060E"/>
    <w:rsid w:val="00F507D1"/>
    <w:rsid w:val="00F519CE"/>
    <w:rsid w:val="00F51ADA"/>
    <w:rsid w:val="00F54057"/>
    <w:rsid w:val="00F57834"/>
    <w:rsid w:val="00F60203"/>
    <w:rsid w:val="00F60585"/>
    <w:rsid w:val="00F607C5"/>
    <w:rsid w:val="00F60DEA"/>
    <w:rsid w:val="00F6302A"/>
    <w:rsid w:val="00F6311A"/>
    <w:rsid w:val="00F63950"/>
    <w:rsid w:val="00F64C2B"/>
    <w:rsid w:val="00F651BE"/>
    <w:rsid w:val="00F67F53"/>
    <w:rsid w:val="00F70129"/>
    <w:rsid w:val="00F703BE"/>
    <w:rsid w:val="00F71F69"/>
    <w:rsid w:val="00F72B72"/>
    <w:rsid w:val="00F7378F"/>
    <w:rsid w:val="00F74BB9"/>
    <w:rsid w:val="00F75582"/>
    <w:rsid w:val="00F76700"/>
    <w:rsid w:val="00F76DD3"/>
    <w:rsid w:val="00F76EFA"/>
    <w:rsid w:val="00F804BE"/>
    <w:rsid w:val="00F80B22"/>
    <w:rsid w:val="00F817CE"/>
    <w:rsid w:val="00F837D2"/>
    <w:rsid w:val="00F83EC3"/>
    <w:rsid w:val="00F8456C"/>
    <w:rsid w:val="00F859D8"/>
    <w:rsid w:val="00F868F5"/>
    <w:rsid w:val="00F9056A"/>
    <w:rsid w:val="00F90F8D"/>
    <w:rsid w:val="00F91F83"/>
    <w:rsid w:val="00F91F9F"/>
    <w:rsid w:val="00F92782"/>
    <w:rsid w:val="00F92D1A"/>
    <w:rsid w:val="00F93AA9"/>
    <w:rsid w:val="00F94810"/>
    <w:rsid w:val="00F96985"/>
    <w:rsid w:val="00F976B6"/>
    <w:rsid w:val="00F97838"/>
    <w:rsid w:val="00FA2BB3"/>
    <w:rsid w:val="00FA2FDE"/>
    <w:rsid w:val="00FA51F7"/>
    <w:rsid w:val="00FB11E1"/>
    <w:rsid w:val="00FB25CD"/>
    <w:rsid w:val="00FB3E0F"/>
    <w:rsid w:val="00FB4C80"/>
    <w:rsid w:val="00FB4FA4"/>
    <w:rsid w:val="00FB6A6A"/>
    <w:rsid w:val="00FB7FFB"/>
    <w:rsid w:val="00FC0CF3"/>
    <w:rsid w:val="00FC1F38"/>
    <w:rsid w:val="00FC2CFC"/>
    <w:rsid w:val="00FC7429"/>
    <w:rsid w:val="00FC76B9"/>
    <w:rsid w:val="00FD07F6"/>
    <w:rsid w:val="00FD155E"/>
    <w:rsid w:val="00FD1EC8"/>
    <w:rsid w:val="00FD3E99"/>
    <w:rsid w:val="00FD47ED"/>
    <w:rsid w:val="00FD5992"/>
    <w:rsid w:val="00FD6147"/>
    <w:rsid w:val="00FD6974"/>
    <w:rsid w:val="00FD74DB"/>
    <w:rsid w:val="00FD7660"/>
    <w:rsid w:val="00FD7B9B"/>
    <w:rsid w:val="00FE0655"/>
    <w:rsid w:val="00FE1E9D"/>
    <w:rsid w:val="00FE2365"/>
    <w:rsid w:val="00FE2373"/>
    <w:rsid w:val="00FE37D7"/>
    <w:rsid w:val="00FE4976"/>
    <w:rsid w:val="00FE4C7B"/>
    <w:rsid w:val="00FE5089"/>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C3362ACC-2248-488B-98CB-A677CFAFB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4C17"/>
    <w:pPr>
      <w:spacing w:after="160" w:line="259" w:lineRule="auto"/>
    </w:pPr>
    <w:rPr>
      <w:rFonts w:ascii="Calibri Light" w:eastAsiaTheme="minorHAnsi" w:hAnsi="Calibri Light" w:cs="Arial"/>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24C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4C1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Lista1,1st level - Bullet List Paragraph,List Paragraph1,Lettre d'introduction,Paragrafo elenco,Normal bullet 2,Bullet list,Numbered List,- Bullets,목록 단락,リスト段落,?? ??,?????,????,列出段落"/>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paragraph" w:styleId="Revision">
    <w:name w:val="Revision"/>
    <w:hidden/>
    <w:uiPriority w:val="99"/>
    <w:semiHidden/>
    <w:rsid w:val="008436F2"/>
    <w:rPr>
      <w:rFonts w:ascii="Calibri Light" w:eastAsiaTheme="minorHAnsi" w:hAnsi="Calibri Light" w:cs="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608397447">
      <w:bodyDiv w:val="1"/>
      <w:marLeft w:val="0"/>
      <w:marRight w:val="0"/>
      <w:marTop w:val="0"/>
      <w:marBottom w:val="0"/>
      <w:divBdr>
        <w:top w:val="none" w:sz="0" w:space="0" w:color="auto"/>
        <w:left w:val="none" w:sz="0" w:space="0" w:color="auto"/>
        <w:bottom w:val="none" w:sz="0" w:space="0" w:color="auto"/>
        <w:right w:val="none" w:sz="0" w:space="0" w:color="auto"/>
      </w:divBdr>
      <w:divsChild>
        <w:div w:id="1354260524">
          <w:marLeft w:val="1080"/>
          <w:marRight w:val="0"/>
          <w:marTop w:val="100"/>
          <w:marBottom w:val="0"/>
          <w:divBdr>
            <w:top w:val="none" w:sz="0" w:space="0" w:color="auto"/>
            <w:left w:val="none" w:sz="0" w:space="0" w:color="auto"/>
            <w:bottom w:val="none" w:sz="0" w:space="0" w:color="auto"/>
            <w:right w:val="none" w:sz="0" w:space="0" w:color="auto"/>
          </w:divBdr>
        </w:div>
      </w:divsChild>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73292762">
      <w:bodyDiv w:val="1"/>
      <w:marLeft w:val="0"/>
      <w:marRight w:val="0"/>
      <w:marTop w:val="0"/>
      <w:marBottom w:val="0"/>
      <w:divBdr>
        <w:top w:val="none" w:sz="0" w:space="0" w:color="auto"/>
        <w:left w:val="none" w:sz="0" w:space="0" w:color="auto"/>
        <w:bottom w:val="none" w:sz="0" w:space="0" w:color="auto"/>
        <w:right w:val="none" w:sz="0" w:space="0" w:color="auto"/>
      </w:divBdr>
      <w:divsChild>
        <w:div w:id="823816779">
          <w:marLeft w:val="2520"/>
          <w:marRight w:val="0"/>
          <w:marTop w:val="100"/>
          <w:marBottom w:val="0"/>
          <w:divBdr>
            <w:top w:val="none" w:sz="0" w:space="0" w:color="auto"/>
            <w:left w:val="none" w:sz="0" w:space="0" w:color="auto"/>
            <w:bottom w:val="none" w:sz="0" w:space="0" w:color="auto"/>
            <w:right w:val="none" w:sz="0" w:space="0" w:color="auto"/>
          </w:divBdr>
        </w:div>
        <w:div w:id="1155537188">
          <w:marLeft w:val="1800"/>
          <w:marRight w:val="0"/>
          <w:marTop w:val="100"/>
          <w:marBottom w:val="0"/>
          <w:divBdr>
            <w:top w:val="none" w:sz="0" w:space="0" w:color="auto"/>
            <w:left w:val="none" w:sz="0" w:space="0" w:color="auto"/>
            <w:bottom w:val="none" w:sz="0" w:space="0" w:color="auto"/>
            <w:right w:val="none" w:sz="0" w:space="0" w:color="auto"/>
          </w:divBdr>
        </w:div>
        <w:div w:id="1599289985">
          <w:marLeft w:val="1800"/>
          <w:marRight w:val="0"/>
          <w:marTop w:val="100"/>
          <w:marBottom w:val="0"/>
          <w:divBdr>
            <w:top w:val="none" w:sz="0" w:space="0" w:color="auto"/>
            <w:left w:val="none" w:sz="0" w:space="0" w:color="auto"/>
            <w:bottom w:val="none" w:sz="0" w:space="0" w:color="auto"/>
            <w:right w:val="none" w:sz="0" w:space="0" w:color="auto"/>
          </w:divBdr>
        </w:div>
        <w:div w:id="1638560340">
          <w:marLeft w:val="1800"/>
          <w:marRight w:val="0"/>
          <w:marTop w:val="100"/>
          <w:marBottom w:val="0"/>
          <w:divBdr>
            <w:top w:val="none" w:sz="0" w:space="0" w:color="auto"/>
            <w:left w:val="none" w:sz="0" w:space="0" w:color="auto"/>
            <w:bottom w:val="none" w:sz="0" w:space="0" w:color="auto"/>
            <w:right w:val="none" w:sz="0" w:space="0" w:color="auto"/>
          </w:divBdr>
        </w:div>
        <w:div w:id="1660886870">
          <w:marLeft w:val="1080"/>
          <w:marRight w:val="0"/>
          <w:marTop w:val="100"/>
          <w:marBottom w:val="0"/>
          <w:divBdr>
            <w:top w:val="none" w:sz="0" w:space="0" w:color="auto"/>
            <w:left w:val="none" w:sz="0" w:space="0" w:color="auto"/>
            <w:bottom w:val="none" w:sz="0" w:space="0" w:color="auto"/>
            <w:right w:val="none" w:sz="0" w:space="0" w:color="auto"/>
          </w:divBdr>
        </w:div>
        <w:div w:id="2066247226">
          <w:marLeft w:val="2520"/>
          <w:marRight w:val="0"/>
          <w:marTop w:val="100"/>
          <w:marBottom w:val="0"/>
          <w:divBdr>
            <w:top w:val="none" w:sz="0" w:space="0" w:color="auto"/>
            <w:left w:val="none" w:sz="0" w:space="0" w:color="auto"/>
            <w:bottom w:val="none" w:sz="0" w:space="0" w:color="auto"/>
            <w:right w:val="none" w:sz="0" w:space="0" w:color="auto"/>
          </w:divBdr>
        </w:div>
        <w:div w:id="2140608509">
          <w:marLeft w:val="2520"/>
          <w:marRight w:val="0"/>
          <w:marTop w:val="100"/>
          <w:marBottom w:val="0"/>
          <w:divBdr>
            <w:top w:val="none" w:sz="0" w:space="0" w:color="auto"/>
            <w:left w:val="none" w:sz="0" w:space="0" w:color="auto"/>
            <w:bottom w:val="none" w:sz="0" w:space="0" w:color="auto"/>
            <w:right w:val="none" w:sz="0" w:space="0" w:color="auto"/>
          </w:divBdr>
        </w:div>
      </w:divsChild>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48393553">
      <w:bodyDiv w:val="1"/>
      <w:marLeft w:val="0"/>
      <w:marRight w:val="0"/>
      <w:marTop w:val="0"/>
      <w:marBottom w:val="0"/>
      <w:divBdr>
        <w:top w:val="none" w:sz="0" w:space="0" w:color="auto"/>
        <w:left w:val="none" w:sz="0" w:space="0" w:color="auto"/>
        <w:bottom w:val="none" w:sz="0" w:space="0" w:color="auto"/>
        <w:right w:val="none" w:sz="0" w:space="0" w:color="auto"/>
      </w:divBdr>
    </w:div>
    <w:div w:id="1991058542">
      <w:bodyDiv w:val="1"/>
      <w:marLeft w:val="0"/>
      <w:marRight w:val="0"/>
      <w:marTop w:val="0"/>
      <w:marBottom w:val="0"/>
      <w:divBdr>
        <w:top w:val="none" w:sz="0" w:space="0" w:color="auto"/>
        <w:left w:val="none" w:sz="0" w:space="0" w:color="auto"/>
        <w:bottom w:val="none" w:sz="0" w:space="0" w:color="auto"/>
        <w:right w:val="none" w:sz="0" w:space="0" w:color="auto"/>
      </w:divBdr>
      <w:divsChild>
        <w:div w:id="1633368775">
          <w:marLeft w:val="1080"/>
          <w:marRight w:val="0"/>
          <w:marTop w:val="100"/>
          <w:marBottom w:val="0"/>
          <w:divBdr>
            <w:top w:val="none" w:sz="0" w:space="0" w:color="auto"/>
            <w:left w:val="none" w:sz="0" w:space="0" w:color="auto"/>
            <w:bottom w:val="none" w:sz="0" w:space="0" w:color="auto"/>
            <w:right w:val="none" w:sz="0" w:space="0" w:color="auto"/>
          </w:divBdr>
        </w:div>
      </w:divsChild>
    </w:div>
    <w:div w:id="2075006354">
      <w:bodyDiv w:val="1"/>
      <w:marLeft w:val="0"/>
      <w:marRight w:val="0"/>
      <w:marTop w:val="0"/>
      <w:marBottom w:val="0"/>
      <w:divBdr>
        <w:top w:val="none" w:sz="0" w:space="0" w:color="auto"/>
        <w:left w:val="none" w:sz="0" w:space="0" w:color="auto"/>
        <w:bottom w:val="none" w:sz="0" w:space="0" w:color="auto"/>
        <w:right w:val="none" w:sz="0" w:space="0" w:color="auto"/>
      </w:divBdr>
      <w:divsChild>
        <w:div w:id="112797159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E5E28-B133-4230-88A1-ACB8E7CE8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38F968A-C91C-48BF-8258-4CBF3CD13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4452</TotalTime>
  <Pages>6</Pages>
  <Words>1364</Words>
  <Characters>7776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9122</CharactersWithSpaces>
  <SharedDoc>false</SharedDoc>
  <HLinks>
    <vt:vector size="30" baseType="variant">
      <vt:variant>
        <vt:i4>1900599</vt:i4>
      </vt:variant>
      <vt:variant>
        <vt:i4>50</vt:i4>
      </vt:variant>
      <vt:variant>
        <vt:i4>0</vt:i4>
      </vt:variant>
      <vt:variant>
        <vt:i4>5</vt:i4>
      </vt:variant>
      <vt:variant>
        <vt:lpwstr/>
      </vt:variant>
      <vt:variant>
        <vt:lpwstr>_Toc20995695</vt:lpwstr>
      </vt:variant>
      <vt:variant>
        <vt:i4>1835063</vt:i4>
      </vt:variant>
      <vt:variant>
        <vt:i4>47</vt:i4>
      </vt:variant>
      <vt:variant>
        <vt:i4>0</vt:i4>
      </vt:variant>
      <vt:variant>
        <vt:i4>5</vt:i4>
      </vt:variant>
      <vt:variant>
        <vt:lpwstr/>
      </vt:variant>
      <vt:variant>
        <vt:lpwstr>_Toc20995694</vt:lpwstr>
      </vt:variant>
      <vt:variant>
        <vt:i4>1769527</vt:i4>
      </vt:variant>
      <vt:variant>
        <vt:i4>44</vt:i4>
      </vt:variant>
      <vt:variant>
        <vt:i4>0</vt:i4>
      </vt:variant>
      <vt:variant>
        <vt:i4>5</vt:i4>
      </vt:variant>
      <vt:variant>
        <vt:lpwstr/>
      </vt:variant>
      <vt:variant>
        <vt:lpwstr>_Toc20995693</vt:lpwstr>
      </vt:variant>
      <vt:variant>
        <vt:i4>1703991</vt:i4>
      </vt:variant>
      <vt:variant>
        <vt:i4>38</vt:i4>
      </vt:variant>
      <vt:variant>
        <vt:i4>0</vt:i4>
      </vt:variant>
      <vt:variant>
        <vt:i4>5</vt:i4>
      </vt:variant>
      <vt:variant>
        <vt:lpwstr/>
      </vt:variant>
      <vt:variant>
        <vt:lpwstr>_Toc20995692</vt:lpwstr>
      </vt:variant>
      <vt:variant>
        <vt:i4>1638455</vt:i4>
      </vt:variant>
      <vt:variant>
        <vt:i4>35</vt:i4>
      </vt:variant>
      <vt:variant>
        <vt:i4>0</vt:i4>
      </vt:variant>
      <vt:variant>
        <vt:i4>5</vt:i4>
      </vt:variant>
      <vt:variant>
        <vt:lpwstr/>
      </vt:variant>
      <vt:variant>
        <vt:lpwstr>_Toc20995691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Siva Muruganathan</cp:lastModifiedBy>
  <cp:revision>284</cp:revision>
  <dcterms:created xsi:type="dcterms:W3CDTF">2019-05-04T21:01:00Z</dcterms:created>
  <dcterms:modified xsi:type="dcterms:W3CDTF">2019-10-04T18:21:00Z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